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8B92" w14:textId="77777777" w:rsidR="00435512" w:rsidRPr="00F13719" w:rsidRDefault="00435512" w:rsidP="00435512">
      <w:pPr>
        <w:pStyle w:val="xmsonormal"/>
        <w:shd w:val="clear" w:color="auto" w:fill="FFFFFF"/>
        <w:spacing w:before="0" w:beforeAutospacing="0" w:after="0" w:afterAutospacing="0"/>
        <w:jc w:val="center"/>
        <w:rPr>
          <w:rFonts w:asciiTheme="minorHAnsi" w:eastAsia="Times New Roman" w:hAnsiTheme="minorHAnsi" w:cs="Times New Roman"/>
          <w:b/>
          <w:bCs/>
          <w:color w:val="212529"/>
        </w:rPr>
      </w:pPr>
      <w:r>
        <w:rPr>
          <w:rFonts w:asciiTheme="minorHAnsi" w:hAnsiTheme="minorHAnsi"/>
          <w:b/>
          <w:color w:val="212529"/>
        </w:rPr>
        <w:t>Information on the documents that certify the person's status*</w:t>
      </w:r>
    </w:p>
    <w:p w14:paraId="2979049B" w14:textId="77777777" w:rsidR="00435512" w:rsidRPr="00F13719" w:rsidRDefault="00435512" w:rsidP="00435512">
      <w:pPr>
        <w:pStyle w:val="xmsonormal"/>
        <w:shd w:val="clear" w:color="auto" w:fill="FFFFFF"/>
        <w:spacing w:before="0" w:beforeAutospacing="0" w:after="0" w:afterAutospacing="0"/>
        <w:ind w:left="720"/>
        <w:jc w:val="both"/>
        <w:rPr>
          <w:rFonts w:asciiTheme="minorHAnsi" w:eastAsia="Times New Roman" w:hAnsiTheme="minorHAnsi" w:cs="Times New Roman"/>
          <w:color w:val="212529"/>
        </w:rPr>
      </w:pPr>
    </w:p>
    <w:p w14:paraId="22B27A5D"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citizen of Latvia - Passport, ID;</w:t>
      </w:r>
    </w:p>
    <w:p w14:paraId="340D0346" w14:textId="77777777" w:rsidR="00435512" w:rsidRPr="00F13719" w:rsidRDefault="00435512" w:rsidP="00435512">
      <w:pPr>
        <w:pStyle w:val="xmsonormal"/>
        <w:shd w:val="clear" w:color="auto" w:fill="FFFFFF" w:themeFill="background1"/>
        <w:spacing w:before="0" w:beforeAutospacing="0" w:after="0" w:afterAutospacing="0"/>
        <w:ind w:left="720"/>
        <w:jc w:val="both"/>
        <w:rPr>
          <w:rFonts w:asciiTheme="minorHAnsi" w:eastAsia="Times New Roman" w:hAnsiTheme="minorHAnsi" w:cs="Times New Roman"/>
          <w:color w:val="212529"/>
        </w:rPr>
      </w:pPr>
    </w:p>
    <w:p w14:paraId="724364D3"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non-citizen of Latvia - Passport, ID;</w:t>
      </w:r>
    </w:p>
    <w:p w14:paraId="1E7FEF09"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2D01F3D4"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foreigner, who has been granted a permanent residence permit in Latvia – permanent residence permit (card);</w:t>
      </w:r>
    </w:p>
    <w:p w14:paraId="3EF3D166" w14:textId="77777777" w:rsidR="00435512" w:rsidRPr="00F13719" w:rsidRDefault="00435512" w:rsidP="00435512">
      <w:pPr>
        <w:pStyle w:val="xmsonormal"/>
        <w:shd w:val="clear" w:color="auto" w:fill="FFFFFF" w:themeFill="background1"/>
        <w:spacing w:before="0" w:beforeAutospacing="0" w:after="0" w:afterAutospacing="0"/>
        <w:ind w:left="720"/>
        <w:jc w:val="both"/>
        <w:rPr>
          <w:rFonts w:asciiTheme="minorHAnsi" w:eastAsia="Times New Roman" w:hAnsiTheme="minorHAnsi" w:cs="Times New Roman"/>
          <w:color w:val="212529"/>
        </w:rPr>
      </w:pPr>
    </w:p>
    <w:p w14:paraId="2AB5178A"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stateless person, whose status of stateless person has been granted in the Republic of Latvia – a stateless person's travel document;;</w:t>
      </w:r>
    </w:p>
    <w:p w14:paraId="0054C8AD"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4FA34986"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refugee – refugee's travel document and permanent residence permit (card);</w:t>
      </w:r>
    </w:p>
    <w:p w14:paraId="464867C2" w14:textId="77777777" w:rsidR="00435512" w:rsidRPr="00F13719" w:rsidRDefault="00435512" w:rsidP="00435512">
      <w:pPr>
        <w:pStyle w:val="ListParagraph"/>
        <w:spacing w:after="0" w:line="240" w:lineRule="auto"/>
        <w:rPr>
          <w:rFonts w:eastAsia="Times New Roman" w:cs="Times New Roman"/>
          <w:color w:val="212529"/>
        </w:rPr>
      </w:pPr>
    </w:p>
    <w:p w14:paraId="62C149AD"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person, who has been granted the alternative status – temporary residence permit (card) and a travel document;</w:t>
      </w:r>
    </w:p>
    <w:p w14:paraId="2C3467A3"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7178A05E"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detained person – detention protocol (CPL, Section 266, Part 2; Detained person is a person, who has been temporarily detained pursuant to the statutory procedure, as separate facts give a basis to assume that this person has committed a criminal offence; the status of detained person is imposed on the person at the moment of actual detention);</w:t>
      </w:r>
    </w:p>
    <w:p w14:paraId="3BAD3347"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7E9511D1"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asylum seeker – personal identity document of the asylum seeker, issued by the State Border Guard;</w:t>
      </w:r>
    </w:p>
    <w:p w14:paraId="37D975C3"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2C8796FA"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 xml:space="preserve">person, whose health is insured in accordance with the Law “On State Social Insurance” </w:t>
      </w:r>
      <w:r>
        <w:rPr>
          <w:rFonts w:asciiTheme="minorHAnsi" w:hAnsiTheme="minorHAnsi"/>
          <w:color w:val="212529"/>
          <w:u w:val="single"/>
        </w:rPr>
        <w:t xml:space="preserve">and who does not have a personal identity number of the Republic of Latvia </w:t>
      </w:r>
      <w:r>
        <w:rPr>
          <w:rFonts w:asciiTheme="minorHAnsi" w:hAnsiTheme="minorHAnsi"/>
          <w:color w:val="212529"/>
        </w:rPr>
        <w:t>– for example, regardless the type (document) of residence in the Republic of Latvia, employees, for whom social insurance contributions have to be made according to the general procedure, self-employed persons, whose income comprises the minimum amount of the mandatory contributions object determined by the Cabinet of Ministers;</w:t>
      </w:r>
    </w:p>
    <w:p w14:paraId="68B7C631" w14:textId="77777777" w:rsidR="00435512" w:rsidRPr="00F13719" w:rsidRDefault="00435512" w:rsidP="00435512">
      <w:pPr>
        <w:pStyle w:val="ListParagraph"/>
        <w:numPr>
          <w:ilvl w:val="0"/>
          <w:numId w:val="2"/>
        </w:numPr>
        <w:jc w:val="both"/>
        <w:rPr>
          <w:rFonts w:eastAsia="Times New Roman" w:cs="Times New Roman"/>
          <w:color w:val="212529"/>
        </w:rPr>
      </w:pPr>
      <w:r>
        <w:rPr>
          <w:color w:val="212529"/>
        </w:rPr>
        <w:t xml:space="preserve">if persons </w:t>
      </w:r>
      <w:r>
        <w:rPr>
          <w:color w:val="212529"/>
          <w:u w:val="single"/>
        </w:rPr>
        <w:t>apply for vaccination by calling 8989, the NHS shall verify</w:t>
      </w:r>
      <w:r>
        <w:rPr>
          <w:color w:val="212529"/>
        </w:rPr>
        <w:t xml:space="preserve"> the person's rights to receive state-paid services of vaccination against Covid-19, and </w:t>
      </w:r>
      <w:r>
        <w:rPr>
          <w:color w:val="212529"/>
          <w:u w:val="single"/>
        </w:rPr>
        <w:t>shall submit to a medical institution a list</w:t>
      </w:r>
      <w:r>
        <w:rPr>
          <w:color w:val="212529"/>
        </w:rPr>
        <w:t xml:space="preserve"> of person that can be invited to receive a vaccine. In this case </w:t>
      </w:r>
      <w:r>
        <w:rPr>
          <w:b/>
          <w:color w:val="212529"/>
          <w:u w:val="single"/>
        </w:rPr>
        <w:t>a person shall not be required to present a document</w:t>
      </w:r>
      <w:r>
        <w:rPr>
          <w:b/>
          <w:color w:val="212529"/>
        </w:rPr>
        <w:t xml:space="preserve"> confirming the person's rights to receive vaccination services</w:t>
      </w:r>
      <w:r>
        <w:rPr>
          <w:color w:val="212529"/>
        </w:rPr>
        <w:t xml:space="preserve"> (NHS decision / statement);</w:t>
      </w:r>
    </w:p>
    <w:p w14:paraId="6D3B29AE" w14:textId="77777777" w:rsidR="00435512" w:rsidRPr="00F13719" w:rsidRDefault="00435512" w:rsidP="00435512">
      <w:pPr>
        <w:pStyle w:val="ListParagraph"/>
        <w:numPr>
          <w:ilvl w:val="0"/>
          <w:numId w:val="2"/>
        </w:numPr>
        <w:jc w:val="both"/>
        <w:rPr>
          <w:rFonts w:eastAsia="Times New Roman" w:cs="Times New Roman"/>
          <w:color w:val="212529"/>
        </w:rPr>
      </w:pPr>
      <w:r>
        <w:rPr>
          <w:color w:val="212529"/>
        </w:rPr>
        <w:t xml:space="preserve">if a person </w:t>
      </w:r>
      <w:r>
        <w:rPr>
          <w:color w:val="212529"/>
          <w:u w:val="single"/>
        </w:rPr>
        <w:t>applies for vaccination at a medical institution or the practice of the general practitioner</w:t>
      </w:r>
      <w:r>
        <w:rPr>
          <w:color w:val="212529"/>
        </w:rPr>
        <w:t xml:space="preserve">, who administers vaccination against Covid-19, the person's </w:t>
      </w:r>
      <w:r>
        <w:rPr>
          <w:color w:val="212529"/>
          <w:u w:val="single"/>
        </w:rPr>
        <w:t>rights</w:t>
      </w:r>
      <w:r>
        <w:rPr>
          <w:color w:val="212529"/>
        </w:rPr>
        <w:t xml:space="preserve"> to receive a vaccine against Covid-19 infection </w:t>
      </w:r>
      <w:r>
        <w:rPr>
          <w:color w:val="212529"/>
          <w:u w:val="single"/>
        </w:rPr>
        <w:t>is certified by the NHS statement/ decision</w:t>
      </w:r>
      <w:r>
        <w:rPr>
          <w:color w:val="212529"/>
        </w:rPr>
        <w:t xml:space="preserve"> on the person's rights to receive state-paid healthcare services/ on the person's rights to receive vaccination against Covid-19 infection;</w:t>
      </w:r>
    </w:p>
    <w:p w14:paraId="11BAD6EC" w14:textId="77777777" w:rsidR="00435512" w:rsidRPr="00F13719" w:rsidRDefault="00435512" w:rsidP="00435512">
      <w:pPr>
        <w:pStyle w:val="ListParagraph"/>
        <w:ind w:left="1080"/>
        <w:jc w:val="both"/>
        <w:rPr>
          <w:rFonts w:eastAsia="Times New Roman" w:cs="Times New Roman"/>
          <w:color w:val="212529"/>
        </w:rPr>
      </w:pPr>
    </w:p>
    <w:p w14:paraId="47D3E5FD" w14:textId="77777777" w:rsidR="00435512" w:rsidRPr="00F13719" w:rsidRDefault="00435512" w:rsidP="00435512">
      <w:pPr>
        <w:pStyle w:val="ListParagraph"/>
        <w:numPr>
          <w:ilvl w:val="0"/>
          <w:numId w:val="1"/>
        </w:numPr>
        <w:jc w:val="both"/>
        <w:rPr>
          <w:rFonts w:eastAsia="Times New Roman" w:cs="Times New Roman"/>
          <w:color w:val="212529"/>
        </w:rPr>
      </w:pPr>
      <w:r>
        <w:rPr>
          <w:color w:val="212529"/>
        </w:rPr>
        <w:t>a person, who presents a decision of the NHS, according to which the person's rights to receive fully state-paid healthcare services in Latvia are established – NHS statement/ decision on the person's rights to receive state-paid healthcare services;</w:t>
      </w:r>
    </w:p>
    <w:p w14:paraId="272AF4FA"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 xml:space="preserve">person, who has received S1 form in another European Union Member State, European Economic Area Member State or Switzerland (hereinafter EU Member </w:t>
      </w:r>
      <w:r>
        <w:rPr>
          <w:rFonts w:asciiTheme="minorHAnsi" w:hAnsiTheme="minorHAnsi"/>
          <w:color w:val="212529"/>
        </w:rPr>
        <w:lastRenderedPageBreak/>
        <w:t xml:space="preserve">States) and has registered it with the NHS – S1 form issued in another EU Member State and registered with the NHS; </w:t>
      </w:r>
    </w:p>
    <w:p w14:paraId="3604DB09"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7353B54B"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employees of foreign diplomatic and consular representative offices, international organizations and their representative offices, who are accredited and residing in Latvia, and their family members – vaccination of employees of embassies and their family members will be ensured by the Diplomatic Service Medical Centre, relying on a list of embassy employees and their relatives, submitted by the Ministry of Foreign Affairs. If a diplomat will not use the opportunity to receive vaccination at the Diplomatic Service Medical Centre, he/she will be vaccinated at any medical institution, which has expressed its readiness to vaccinate English-speaking persons. An officer or employee of European Union institutions, structural units and agencies, and persons maintained by these authorities, who are included in the Common Health Insurance Scheme (employees of BEREC office), shall certify the rights to receive vaccination against Covid-19 by a statement of the Common Health Insurance Scheme (CHIS) and a statement on recognition of CHIS in Latvia, issued by NHS;</w:t>
      </w:r>
    </w:p>
    <w:p w14:paraId="6D5EF3F5"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color w:val="212529"/>
        </w:rPr>
      </w:pPr>
    </w:p>
    <w:p w14:paraId="6EC1E5A1" w14:textId="77777777" w:rsidR="00435512" w:rsidRPr="00F13719" w:rsidRDefault="00435512" w:rsidP="00435512">
      <w:pPr>
        <w:pStyle w:val="xmsonormal"/>
        <w:numPr>
          <w:ilvl w:val="0"/>
          <w:numId w:val="1"/>
        </w:numPr>
        <w:shd w:val="clear" w:color="auto" w:fill="FFFFFF" w:themeFill="background1"/>
        <w:spacing w:before="0" w:beforeAutospacing="0" w:after="0" w:afterAutospacing="0"/>
        <w:jc w:val="both"/>
        <w:rPr>
          <w:rFonts w:asciiTheme="minorHAnsi" w:eastAsia="Times New Roman" w:hAnsiTheme="minorHAnsi" w:cs="Times New Roman"/>
          <w:color w:val="212529"/>
        </w:rPr>
      </w:pPr>
      <w:r>
        <w:rPr>
          <w:rFonts w:asciiTheme="minorHAnsi" w:hAnsiTheme="minorHAnsi"/>
          <w:color w:val="212529"/>
        </w:rPr>
        <w:t>persons, who have been granted a temporary residence permit in Latvia – a residence document (card) with indicated type of permit “temporary residence permit”.</w:t>
      </w:r>
    </w:p>
    <w:p w14:paraId="1F93336C" w14:textId="77777777" w:rsidR="00435512" w:rsidRPr="00F13719" w:rsidRDefault="00435512" w:rsidP="00435512">
      <w:pPr>
        <w:pStyle w:val="ListParagraph"/>
        <w:rPr>
          <w:rFonts w:eastAsia="Times New Roman" w:cs="Times New Roman"/>
          <w:color w:val="212529"/>
        </w:rPr>
      </w:pPr>
    </w:p>
    <w:p w14:paraId="6D28794B" w14:textId="77777777" w:rsidR="00435512" w:rsidRPr="00F13719" w:rsidRDefault="00435512" w:rsidP="00435512">
      <w:pPr>
        <w:pStyle w:val="ListParagraph"/>
        <w:numPr>
          <w:ilvl w:val="0"/>
          <w:numId w:val="1"/>
        </w:numPr>
        <w:rPr>
          <w:rFonts w:eastAsia="Times New Roman" w:cs="Times New Roman"/>
          <w:color w:val="212529"/>
        </w:rPr>
      </w:pPr>
      <w:r>
        <w:rPr>
          <w:color w:val="212529"/>
        </w:rPr>
        <w:t>full-time foreign students studying in Latvia - student's card or statement issued by a Latvian educational institution.</w:t>
      </w:r>
    </w:p>
    <w:p w14:paraId="44C221E4" w14:textId="77777777" w:rsidR="00435512" w:rsidRPr="00F13719" w:rsidRDefault="00435512" w:rsidP="00435512">
      <w:pPr>
        <w:pStyle w:val="ListParagraph"/>
        <w:rPr>
          <w:rFonts w:eastAsia="Times New Roman" w:cs="Times New Roman"/>
          <w:color w:val="212529"/>
        </w:rPr>
      </w:pPr>
    </w:p>
    <w:p w14:paraId="669AF42E" w14:textId="77777777" w:rsidR="00435512" w:rsidRPr="00F13719" w:rsidRDefault="00435512" w:rsidP="00435512">
      <w:pPr>
        <w:rPr>
          <w:rFonts w:eastAsia="Times New Roman" w:cs="Times New Roman"/>
          <w:color w:val="212529"/>
        </w:rPr>
      </w:pPr>
    </w:p>
    <w:p w14:paraId="61966612" w14:textId="77777777" w:rsidR="00435512" w:rsidRPr="00F13719" w:rsidRDefault="00435512" w:rsidP="00435512">
      <w:pPr>
        <w:pStyle w:val="xmsonormal"/>
        <w:shd w:val="clear" w:color="auto" w:fill="FFFFFF" w:themeFill="background1"/>
        <w:spacing w:before="0" w:beforeAutospacing="0" w:after="0" w:afterAutospacing="0"/>
        <w:ind w:left="720"/>
        <w:jc w:val="both"/>
        <w:rPr>
          <w:rFonts w:asciiTheme="minorHAnsi" w:eastAsia="Times New Roman" w:hAnsiTheme="minorHAnsi" w:cs="Times New Roman"/>
          <w:color w:val="212529"/>
        </w:rPr>
      </w:pPr>
    </w:p>
    <w:p w14:paraId="61D6A6D0" w14:textId="77777777" w:rsidR="00435512" w:rsidRPr="00F13719" w:rsidRDefault="00435512" w:rsidP="00435512">
      <w:pPr>
        <w:pStyle w:val="xmsonormal"/>
        <w:shd w:val="clear" w:color="auto" w:fill="FFFFFF" w:themeFill="background1"/>
        <w:spacing w:before="0" w:beforeAutospacing="0" w:after="0" w:afterAutospacing="0"/>
        <w:jc w:val="both"/>
        <w:rPr>
          <w:rFonts w:asciiTheme="minorHAnsi" w:eastAsia="Times New Roman" w:hAnsiTheme="minorHAnsi" w:cs="Times New Roman"/>
          <w:b/>
          <w:bCs/>
          <w:i/>
          <w:iCs/>
          <w:color w:val="212529"/>
        </w:rPr>
      </w:pPr>
      <w:r>
        <w:rPr>
          <w:rFonts w:asciiTheme="minorHAnsi" w:hAnsiTheme="minorHAnsi"/>
          <w:b/>
          <w:i/>
          <w:color w:val="212529"/>
        </w:rPr>
        <w:t> </w:t>
      </w:r>
    </w:p>
    <w:p w14:paraId="02CA7772" w14:textId="64CD6FCF" w:rsidR="00435512" w:rsidRPr="00F13719" w:rsidRDefault="00435512" w:rsidP="00435512">
      <w:pPr>
        <w:pStyle w:val="ListParagraph"/>
        <w:spacing w:after="0" w:line="240" w:lineRule="auto"/>
        <w:jc w:val="both"/>
        <w:rPr>
          <w:rFonts w:cs="Times New Roman"/>
          <w:b/>
          <w:bCs/>
          <w:i/>
          <w:iCs/>
        </w:rPr>
      </w:pPr>
      <w:r>
        <w:rPr>
          <w:b/>
          <w:i/>
        </w:rPr>
        <w:t>* Before vaccination against C</w:t>
      </w:r>
      <w:r w:rsidR="003065A4">
        <w:rPr>
          <w:b/>
          <w:i/>
        </w:rPr>
        <w:t>OVID</w:t>
      </w:r>
      <w:r>
        <w:rPr>
          <w:b/>
          <w:i/>
        </w:rPr>
        <w:t>-19 infection, the person shall present a personal identity document (passport or ID) for verification of</w:t>
      </w:r>
      <w:r>
        <w:t xml:space="preserve"> </w:t>
      </w:r>
      <w:r>
        <w:rPr>
          <w:b/>
          <w:i/>
        </w:rPr>
        <w:t>person's identity</w:t>
      </w:r>
    </w:p>
    <w:p w14:paraId="5BF277AA" w14:textId="77777777" w:rsidR="00E728DD" w:rsidRDefault="00E728DD"/>
    <w:sectPr w:rsidR="00E728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3B25"/>
    <w:multiLevelType w:val="hybridMultilevel"/>
    <w:tmpl w:val="ADB22270"/>
    <w:lvl w:ilvl="0" w:tplc="26341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1111A4"/>
    <w:multiLevelType w:val="multilevel"/>
    <w:tmpl w:val="E8E08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2"/>
    <w:rsid w:val="003065A4"/>
    <w:rsid w:val="00435512"/>
    <w:rsid w:val="00E728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AC64"/>
  <w15:chartTrackingRefBased/>
  <w15:docId w15:val="{73AAC234-944A-4A90-92E6-C3FA9FB2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12"/>
    <w:pPr>
      <w:spacing w:after="200" w:line="276" w:lineRule="auto"/>
    </w:pPr>
    <w:rPr>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35512"/>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43551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2778</Words>
  <Characters>1584</Characters>
  <Application>Microsoft Office Word</Application>
  <DocSecurity>0</DocSecurity>
  <Lines>13</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Ločmele</dc:creator>
  <cp:keywords/>
  <dc:description/>
  <cp:lastModifiedBy>Kitija Ločmele</cp:lastModifiedBy>
  <cp:revision>2</cp:revision>
  <dcterms:created xsi:type="dcterms:W3CDTF">2021-05-28T12:55:00Z</dcterms:created>
  <dcterms:modified xsi:type="dcterms:W3CDTF">2021-05-28T13:00:00Z</dcterms:modified>
</cp:coreProperties>
</file>