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E11A" w14:textId="77777777" w:rsidR="00A24A6B" w:rsidRPr="00D5053F" w:rsidRDefault="0045320A" w:rsidP="003E7BBE">
      <w:pPr>
        <w:spacing w:before="360"/>
        <w:jc w:val="center"/>
        <w:rPr>
          <w:sz w:val="17"/>
          <w:szCs w:val="17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2B26519F" wp14:editId="78160A30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091D3F2" wp14:editId="757C8BCE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5" style="width:346.25pt;height:0.1pt;margin-top:150.5pt;margin-left:145.7pt;mso-position-horizontal-relative:page;mso-position-vertical-relative:page;position:absolute;z-index:-251657216" coordorigin="2915,2998" coordsize="6926,2">
                <v:shape id="Freeform 42" o:spid="_x0000_s1026" style="width:6926;height:2;left:2915;mso-wrap-style:square;position:absolute;top:2998;visibility:visible;v-text-anchor:top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14:paraId="7F077610" w14:textId="77777777" w:rsidR="00E46A48" w:rsidRDefault="0045320A" w:rsidP="00E46A48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7"/>
        <w:gridCol w:w="3644"/>
      </w:tblGrid>
      <w:tr w:rsidR="00A54BEF" w14:paraId="076B0E43" w14:textId="77777777" w:rsidTr="00C5711F">
        <w:trPr>
          <w:trHeight w:val="313"/>
        </w:trPr>
        <w:tc>
          <w:tcPr>
            <w:tcW w:w="5495" w:type="dxa"/>
            <w:shd w:val="clear" w:color="auto" w:fill="auto"/>
          </w:tcPr>
          <w:p w14:paraId="5C4938ED" w14:textId="77777777" w:rsidR="00222B8B" w:rsidRDefault="0045320A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1-8.2/2021/1718</w:t>
            </w:r>
          </w:p>
          <w:p w14:paraId="0019B258" w14:textId="77777777" w:rsidR="002079F2" w:rsidRPr="00CB2202" w:rsidRDefault="002079F2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4DB9010" w14:textId="77777777" w:rsidR="00D10884" w:rsidRDefault="0045320A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Pēc pievienotā saraksta</w:t>
            </w:r>
          </w:p>
          <w:p w14:paraId="2632BB90" w14:textId="77777777" w:rsidR="00D10884" w:rsidRDefault="00D10884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14:paraId="03524D45" w14:textId="77777777" w:rsidR="002079F2" w:rsidRDefault="0045320A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Zināšanai: Nacionālais veselības dienests</w:t>
            </w:r>
          </w:p>
        </w:tc>
      </w:tr>
    </w:tbl>
    <w:p w14:paraId="310ECAAE" w14:textId="77777777" w:rsidR="002079F2" w:rsidRPr="00195A3A" w:rsidRDefault="0045320A" w:rsidP="002079F2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 xml:space="preserve">Par vakcīnu pret gripu </w:t>
      </w:r>
      <w:r>
        <w:rPr>
          <w:rFonts w:ascii="Times New Roman" w:hAnsi="Times New Roman"/>
          <w:b/>
          <w:i/>
          <w:noProof/>
        </w:rPr>
        <w:t>pasūtījumu 2021./2022. gada sezonai</w:t>
      </w:r>
    </w:p>
    <w:p w14:paraId="1F82315F" w14:textId="77777777" w:rsidR="00260F95" w:rsidRPr="00A80EC2" w:rsidRDefault="0045320A" w:rsidP="00260F95">
      <w:pPr>
        <w:spacing w:before="240" w:line="252" w:lineRule="auto"/>
        <w:ind w:firstLine="720"/>
        <w:jc w:val="both"/>
        <w:rPr>
          <w:sz w:val="24"/>
          <w:szCs w:val="24"/>
        </w:rPr>
      </w:pPr>
      <w:r w:rsidRPr="00A80EC2">
        <w:rPr>
          <w:sz w:val="24"/>
          <w:szCs w:val="24"/>
        </w:rPr>
        <w:t>Slimību profilakses un kontroles centrs (turpmāk – Centrs) informē, ka saskaņā ar plānotiem grozījumiem Ministru kabineta 2000. gada 26. septembra noteikumiem Nr. 330 “Vakcinācijas noteikumi” (turpmāk - Noteikumi) ar vak</w:t>
      </w:r>
      <w:r w:rsidRPr="00A80EC2">
        <w:rPr>
          <w:sz w:val="24"/>
          <w:szCs w:val="24"/>
        </w:rPr>
        <w:t>cīnu pret gripu ir vakcinējami:</w:t>
      </w:r>
    </w:p>
    <w:p w14:paraId="60ACCEA2" w14:textId="77777777" w:rsidR="00260F95" w:rsidRPr="00260F95" w:rsidRDefault="0045320A" w:rsidP="00260F9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>bērni vecumā no 6 līdz 23 mēnešiem (ieskaitot);</w:t>
      </w:r>
    </w:p>
    <w:p w14:paraId="607FF920" w14:textId="77777777" w:rsidR="00260F95" w:rsidRPr="00260F95" w:rsidRDefault="0045320A" w:rsidP="00260F9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>grūtnieces;</w:t>
      </w:r>
    </w:p>
    <w:p w14:paraId="288521BC" w14:textId="77777777" w:rsidR="00260F95" w:rsidRPr="00260F95" w:rsidRDefault="0045320A" w:rsidP="00260F9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>ārstniecības personas un ārstniecības atbalsta personas, kuras, pildot darba pienākumus, ir tuvā kontaktā ar pacientiem;</w:t>
      </w:r>
    </w:p>
    <w:p w14:paraId="166BEC5C" w14:textId="77777777" w:rsidR="00260F95" w:rsidRPr="00260F95" w:rsidRDefault="0045320A" w:rsidP="00260F9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 xml:space="preserve">ilgstošas sociālās aprūpes centru </w:t>
      </w:r>
      <w:r w:rsidRPr="00260F95">
        <w:rPr>
          <w:rFonts w:ascii="Times New Roman" w:hAnsi="Times New Roman"/>
          <w:sz w:val="24"/>
          <w:szCs w:val="24"/>
        </w:rPr>
        <w:t>darbinieki, kuri, pildot darba pienākumus, ir tuvā kontaktā ar klientiem;</w:t>
      </w:r>
    </w:p>
    <w:p w14:paraId="45574EB4" w14:textId="77777777" w:rsidR="00260F95" w:rsidRPr="00260F95" w:rsidRDefault="0045320A" w:rsidP="00260F9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>ilgstošas sociālās aprūpes centru klienti;</w:t>
      </w:r>
    </w:p>
    <w:p w14:paraId="41731B98" w14:textId="77777777" w:rsidR="00260F95" w:rsidRPr="00260F95" w:rsidRDefault="0045320A" w:rsidP="00260F9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>personas vecumā no 65 gadiem;</w:t>
      </w:r>
    </w:p>
    <w:p w14:paraId="77F665A4" w14:textId="77777777" w:rsidR="00260F95" w:rsidRPr="00260F95" w:rsidRDefault="0045320A" w:rsidP="00260F9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 xml:space="preserve">personas, kuras pieder pie šādām veselības riska grupām: </w:t>
      </w:r>
    </w:p>
    <w:p w14:paraId="42A63319" w14:textId="77777777" w:rsidR="00260F95" w:rsidRPr="00260F95" w:rsidRDefault="0045320A" w:rsidP="00260F95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>personas ar hroniskām plaušu slimībām;</w:t>
      </w:r>
    </w:p>
    <w:p w14:paraId="7D031CEC" w14:textId="77777777" w:rsidR="00260F95" w:rsidRPr="00260F95" w:rsidRDefault="0045320A" w:rsidP="00260F95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 xml:space="preserve">personas ar </w:t>
      </w:r>
      <w:r w:rsidRPr="00260F95">
        <w:rPr>
          <w:rFonts w:ascii="Times New Roman" w:hAnsi="Times New Roman"/>
          <w:sz w:val="24"/>
          <w:szCs w:val="24"/>
        </w:rPr>
        <w:t xml:space="preserve">hroniskām </w:t>
      </w:r>
      <w:proofErr w:type="spellStart"/>
      <w:r w:rsidRPr="00260F95">
        <w:rPr>
          <w:rFonts w:ascii="Times New Roman" w:hAnsi="Times New Roman"/>
          <w:sz w:val="24"/>
          <w:szCs w:val="24"/>
        </w:rPr>
        <w:t>kardiovaskulārām</w:t>
      </w:r>
      <w:proofErr w:type="spellEnd"/>
      <w:r w:rsidRPr="00260F95">
        <w:rPr>
          <w:rFonts w:ascii="Times New Roman" w:hAnsi="Times New Roman"/>
          <w:sz w:val="24"/>
          <w:szCs w:val="24"/>
        </w:rPr>
        <w:t xml:space="preserve"> slimībām neatkarīgi no to cēloņa;</w:t>
      </w:r>
    </w:p>
    <w:p w14:paraId="7B797793" w14:textId="77777777" w:rsidR="00260F95" w:rsidRPr="00260F95" w:rsidRDefault="0045320A" w:rsidP="00260F95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>personas ar hroniskām vielmaiņas slimībām;</w:t>
      </w:r>
    </w:p>
    <w:p w14:paraId="7DED4DB1" w14:textId="77777777" w:rsidR="00260F95" w:rsidRPr="00260F95" w:rsidRDefault="0045320A" w:rsidP="00260F95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>personas ar hroniskām nieru slimībām;</w:t>
      </w:r>
    </w:p>
    <w:p w14:paraId="13CA72EB" w14:textId="77777777" w:rsidR="00260F95" w:rsidRPr="00260F95" w:rsidRDefault="0045320A" w:rsidP="00260F95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>personas ar imūndeficītu;</w:t>
      </w:r>
    </w:p>
    <w:p w14:paraId="58A75F56" w14:textId="77777777" w:rsidR="00260F95" w:rsidRPr="00260F95" w:rsidRDefault="0045320A" w:rsidP="00260F95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 xml:space="preserve">personas, kuras saņem </w:t>
      </w:r>
      <w:proofErr w:type="spellStart"/>
      <w:r w:rsidRPr="00260F95">
        <w:rPr>
          <w:rFonts w:ascii="Times New Roman" w:hAnsi="Times New Roman"/>
          <w:sz w:val="24"/>
          <w:szCs w:val="24"/>
        </w:rPr>
        <w:t>imūnsupresīvu</w:t>
      </w:r>
      <w:proofErr w:type="spellEnd"/>
      <w:r w:rsidRPr="00260F95">
        <w:rPr>
          <w:rFonts w:ascii="Times New Roman" w:hAnsi="Times New Roman"/>
          <w:sz w:val="24"/>
          <w:szCs w:val="24"/>
        </w:rPr>
        <w:t xml:space="preserve"> terapiju;</w:t>
      </w:r>
    </w:p>
    <w:p w14:paraId="28014866" w14:textId="77777777" w:rsidR="00260F95" w:rsidRPr="00260F95" w:rsidRDefault="0045320A" w:rsidP="00260F95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0F95">
        <w:rPr>
          <w:rFonts w:ascii="Times New Roman" w:hAnsi="Times New Roman"/>
          <w:sz w:val="24"/>
          <w:szCs w:val="24"/>
        </w:rPr>
        <w:t>personas ar psihiskām slimībām</w:t>
      </w:r>
    </w:p>
    <w:p w14:paraId="544348F2" w14:textId="77777777" w:rsidR="00260F95" w:rsidRDefault="0045320A" w:rsidP="00260F95">
      <w:pPr>
        <w:ind w:firstLine="420"/>
        <w:jc w:val="both"/>
        <w:rPr>
          <w:sz w:val="24"/>
          <w:szCs w:val="24"/>
        </w:rPr>
      </w:pPr>
      <w:r w:rsidRPr="0065437A">
        <w:rPr>
          <w:sz w:val="24"/>
          <w:szCs w:val="24"/>
        </w:rPr>
        <w:t>Vakcinācija</w:t>
      </w:r>
      <w:r w:rsidRPr="0065437A">
        <w:rPr>
          <w:sz w:val="24"/>
          <w:szCs w:val="24"/>
        </w:rPr>
        <w:t xml:space="preserve">s iestādēm laikus ir jāplāno un </w:t>
      </w:r>
      <w:proofErr w:type="spellStart"/>
      <w:r w:rsidRPr="0065437A">
        <w:rPr>
          <w:sz w:val="24"/>
          <w:szCs w:val="24"/>
        </w:rPr>
        <w:t>jā</w:t>
      </w:r>
      <w:r>
        <w:rPr>
          <w:sz w:val="24"/>
          <w:szCs w:val="24"/>
        </w:rPr>
        <w:t>pa</w:t>
      </w:r>
      <w:r w:rsidRPr="0065437A">
        <w:rPr>
          <w:sz w:val="24"/>
          <w:szCs w:val="24"/>
        </w:rPr>
        <w:t>sūta</w:t>
      </w:r>
      <w:proofErr w:type="spellEnd"/>
      <w:r w:rsidRPr="0065437A">
        <w:rPr>
          <w:sz w:val="24"/>
          <w:szCs w:val="24"/>
        </w:rPr>
        <w:t xml:space="preserve"> nepieciešamais vakcīnas daudzums. </w:t>
      </w:r>
      <w:r>
        <w:rPr>
          <w:sz w:val="24"/>
          <w:szCs w:val="24"/>
        </w:rPr>
        <w:t>Centrs aicina vakcinācijas iestādes izvērtēt visai sezonai nepieciešamo vakcīnas pret gripu apjomu un vakcinācijas procesu plānot tā, lai kalendāra gada septembrī un oktobrī (līdz g</w:t>
      </w:r>
      <w:r>
        <w:rPr>
          <w:sz w:val="24"/>
          <w:szCs w:val="24"/>
        </w:rPr>
        <w:t xml:space="preserve">ripas sezonas sākumam) tiktu pasūtīts </w:t>
      </w:r>
      <w:r w:rsidRPr="00C40DC1">
        <w:rPr>
          <w:sz w:val="24"/>
          <w:szCs w:val="24"/>
          <w:u w:val="single"/>
        </w:rPr>
        <w:t>lielākais plānotais</w:t>
      </w:r>
      <w:r>
        <w:rPr>
          <w:sz w:val="24"/>
          <w:szCs w:val="24"/>
          <w:u w:val="single"/>
        </w:rPr>
        <w:t xml:space="preserve"> vakcīnas</w:t>
      </w:r>
      <w:r w:rsidRPr="00C40DC1">
        <w:rPr>
          <w:sz w:val="24"/>
          <w:szCs w:val="24"/>
          <w:u w:val="single"/>
        </w:rPr>
        <w:t xml:space="preserve"> pret</w:t>
      </w:r>
      <w:r>
        <w:rPr>
          <w:sz w:val="24"/>
          <w:szCs w:val="24"/>
          <w:u w:val="single"/>
        </w:rPr>
        <w:t xml:space="preserve"> </w:t>
      </w:r>
      <w:r w:rsidRPr="00C40DC1">
        <w:rPr>
          <w:sz w:val="24"/>
          <w:szCs w:val="24"/>
          <w:u w:val="single"/>
        </w:rPr>
        <w:t>grip</w:t>
      </w:r>
      <w:r>
        <w:rPr>
          <w:sz w:val="24"/>
          <w:szCs w:val="24"/>
          <w:u w:val="single"/>
        </w:rPr>
        <w:t>u</w:t>
      </w:r>
      <w:r w:rsidRPr="00C40DC1">
        <w:rPr>
          <w:sz w:val="24"/>
          <w:szCs w:val="24"/>
          <w:u w:val="single"/>
        </w:rPr>
        <w:t xml:space="preserve"> apjoms</w:t>
      </w:r>
      <w:r>
        <w:rPr>
          <w:sz w:val="24"/>
          <w:szCs w:val="24"/>
          <w:u w:val="single"/>
        </w:rPr>
        <w:t xml:space="preserve"> atbilstoši aukstuma iekārtas ietilpībai</w:t>
      </w:r>
      <w:r>
        <w:rPr>
          <w:sz w:val="24"/>
          <w:szCs w:val="24"/>
        </w:rPr>
        <w:t>.</w:t>
      </w:r>
      <w:r w:rsidRPr="00522457">
        <w:rPr>
          <w:sz w:val="24"/>
          <w:szCs w:val="24"/>
        </w:rPr>
        <w:t xml:space="preserve"> </w:t>
      </w:r>
    </w:p>
    <w:p w14:paraId="3452483A" w14:textId="77777777" w:rsidR="00260F95" w:rsidRDefault="0045320A" w:rsidP="00260F95">
      <w:pPr>
        <w:ind w:firstLine="420"/>
        <w:jc w:val="both"/>
        <w:rPr>
          <w:sz w:val="24"/>
          <w:szCs w:val="24"/>
        </w:rPr>
      </w:pPr>
      <w:r w:rsidRPr="0065437A">
        <w:rPr>
          <w:sz w:val="24"/>
          <w:szCs w:val="24"/>
        </w:rPr>
        <w:t>Vakcīnu pasūtījum</w:t>
      </w:r>
      <w:r>
        <w:rPr>
          <w:sz w:val="24"/>
          <w:szCs w:val="24"/>
        </w:rPr>
        <w:t>us</w:t>
      </w:r>
      <w:r w:rsidRPr="0065437A">
        <w:rPr>
          <w:sz w:val="24"/>
          <w:szCs w:val="24"/>
        </w:rPr>
        <w:t xml:space="preserve"> noformē, izmantojot noteikumu 3. pielikuma veidlapu </w:t>
      </w:r>
      <w:r w:rsidRPr="00F56D2A">
        <w:rPr>
          <w:i/>
          <w:iCs/>
          <w:sz w:val="24"/>
          <w:szCs w:val="24"/>
        </w:rPr>
        <w:t xml:space="preserve">„Iedzīvotāju imunizācijas pārskata un vakcīnu pasūtījuma </w:t>
      </w:r>
      <w:r w:rsidRPr="00F56D2A">
        <w:rPr>
          <w:i/>
          <w:iCs/>
          <w:sz w:val="24"/>
          <w:szCs w:val="24"/>
        </w:rPr>
        <w:t>veidlapa”</w:t>
      </w:r>
      <w:r w:rsidRPr="0065437A">
        <w:rPr>
          <w:sz w:val="24"/>
          <w:szCs w:val="24"/>
        </w:rPr>
        <w:t xml:space="preserve"> (turpmāk – veidlapa).</w:t>
      </w:r>
      <w:r>
        <w:rPr>
          <w:sz w:val="24"/>
          <w:szCs w:val="24"/>
        </w:rPr>
        <w:t xml:space="preserve"> Vakcīnas pret gripu pasūtīšanai</w:t>
      </w:r>
      <w:r w:rsidRPr="00C40DC1">
        <w:rPr>
          <w:sz w:val="24"/>
          <w:szCs w:val="24"/>
        </w:rPr>
        <w:t xml:space="preserve"> aizpilda veidlapas 12</w:t>
      </w:r>
      <w:r>
        <w:rPr>
          <w:sz w:val="24"/>
          <w:szCs w:val="24"/>
        </w:rPr>
        <w:t>.B.</w:t>
      </w:r>
      <w:r w:rsidRPr="00C40DC1">
        <w:rPr>
          <w:sz w:val="24"/>
          <w:szCs w:val="24"/>
        </w:rPr>
        <w:t xml:space="preserve"> tabul</w:t>
      </w:r>
      <w:r>
        <w:rPr>
          <w:sz w:val="24"/>
          <w:szCs w:val="24"/>
        </w:rPr>
        <w:t>u</w:t>
      </w:r>
      <w:r w:rsidRPr="00C40DC1">
        <w:rPr>
          <w:sz w:val="24"/>
          <w:szCs w:val="24"/>
        </w:rPr>
        <w:t xml:space="preserve">, norādot nepieciešamo vakcīnas devu skaitu. </w:t>
      </w:r>
      <w:r w:rsidRPr="00C40DC1">
        <w:rPr>
          <w:sz w:val="24"/>
          <w:szCs w:val="24"/>
        </w:rPr>
        <w:lastRenderedPageBreak/>
        <w:t>Lai atskaitītos par iepriekšējā mēneša vakcīnas</w:t>
      </w:r>
      <w:r>
        <w:rPr>
          <w:sz w:val="24"/>
          <w:szCs w:val="24"/>
        </w:rPr>
        <w:t xml:space="preserve"> pret gripu</w:t>
      </w:r>
      <w:r w:rsidRPr="00C40DC1">
        <w:rPr>
          <w:sz w:val="24"/>
          <w:szCs w:val="24"/>
        </w:rPr>
        <w:t xml:space="preserve"> izlietojumu, aizpilda veidlapas 12</w:t>
      </w:r>
      <w:r>
        <w:rPr>
          <w:sz w:val="24"/>
          <w:szCs w:val="24"/>
        </w:rPr>
        <w:t>.A. tabulu</w:t>
      </w:r>
      <w:r w:rsidRPr="00C40DC1">
        <w:rPr>
          <w:sz w:val="24"/>
          <w:szCs w:val="24"/>
        </w:rPr>
        <w:t>. Jūsu ērtība</w:t>
      </w:r>
      <w:r w:rsidRPr="00C40DC1">
        <w:rPr>
          <w:sz w:val="24"/>
          <w:szCs w:val="24"/>
        </w:rPr>
        <w:t xml:space="preserve">i aizpildīšanai piemērota veidlapa pieejama </w:t>
      </w:r>
      <w:r>
        <w:rPr>
          <w:sz w:val="24"/>
          <w:szCs w:val="24"/>
        </w:rPr>
        <w:t xml:space="preserve">Centra </w:t>
      </w:r>
      <w:r w:rsidRPr="00C40DC1">
        <w:rPr>
          <w:sz w:val="24"/>
          <w:szCs w:val="24"/>
        </w:rPr>
        <w:t xml:space="preserve">tīmekļa vietnes (www.spkc.gov.lv) sadaļā “Profesionāļiem → </w:t>
      </w:r>
      <w:r>
        <w:rPr>
          <w:sz w:val="24"/>
          <w:szCs w:val="24"/>
        </w:rPr>
        <w:t xml:space="preserve">Infekcijas slimību informācija profesionāļiem </w:t>
      </w:r>
      <w:r w:rsidRPr="00C40DC1">
        <w:rPr>
          <w:sz w:val="24"/>
          <w:szCs w:val="24"/>
        </w:rPr>
        <w:t>→</w:t>
      </w:r>
      <w:r>
        <w:rPr>
          <w:sz w:val="24"/>
          <w:szCs w:val="24"/>
        </w:rPr>
        <w:t xml:space="preserve"> </w:t>
      </w:r>
      <w:r w:rsidRPr="00C40DC1">
        <w:rPr>
          <w:sz w:val="24"/>
          <w:szCs w:val="24"/>
        </w:rPr>
        <w:t>Vakcinācija</w:t>
      </w:r>
      <w:r>
        <w:rPr>
          <w:sz w:val="24"/>
          <w:szCs w:val="24"/>
        </w:rPr>
        <w:t>”</w:t>
      </w:r>
      <w:r w:rsidRPr="00C40DC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5437A">
        <w:rPr>
          <w:sz w:val="24"/>
          <w:szCs w:val="24"/>
        </w:rPr>
        <w:t>Lai vakcīna</w:t>
      </w:r>
      <w:r>
        <w:rPr>
          <w:sz w:val="24"/>
          <w:szCs w:val="24"/>
        </w:rPr>
        <w:t xml:space="preserve"> pret gripu</w:t>
      </w:r>
      <w:r w:rsidRPr="0065437A">
        <w:rPr>
          <w:sz w:val="24"/>
          <w:szCs w:val="24"/>
        </w:rPr>
        <w:t xml:space="preserve"> būtu pieejama vakcinācijas iestādēs noteikumos noteiktajā laikā (1. oktobrī), veidlapa</w:t>
      </w:r>
      <w:r>
        <w:rPr>
          <w:sz w:val="24"/>
          <w:szCs w:val="24"/>
        </w:rPr>
        <w:t xml:space="preserve"> ar vakcīnu pret gripu pasūtījumiem</w:t>
      </w:r>
      <w:r w:rsidRPr="006543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var iesniegt </w:t>
      </w:r>
      <w:r w:rsidRPr="0065437A">
        <w:rPr>
          <w:sz w:val="24"/>
          <w:szCs w:val="24"/>
        </w:rPr>
        <w:t xml:space="preserve">līdz </w:t>
      </w:r>
      <w:r w:rsidRPr="00F56D2A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1</w:t>
      </w:r>
      <w:r w:rsidRPr="00F56D2A">
        <w:rPr>
          <w:b/>
          <w:bCs/>
          <w:sz w:val="24"/>
          <w:szCs w:val="24"/>
        </w:rPr>
        <w:t xml:space="preserve">. gada </w:t>
      </w:r>
      <w:r>
        <w:rPr>
          <w:b/>
          <w:bCs/>
          <w:sz w:val="24"/>
          <w:szCs w:val="24"/>
        </w:rPr>
        <w:t>12</w:t>
      </w:r>
      <w:r w:rsidRPr="00F56D2A">
        <w:rPr>
          <w:b/>
          <w:bCs/>
          <w:sz w:val="24"/>
          <w:szCs w:val="24"/>
        </w:rPr>
        <w:t>. septembrim.</w:t>
      </w:r>
      <w:r w:rsidRPr="0065437A">
        <w:rPr>
          <w:sz w:val="24"/>
          <w:szCs w:val="24"/>
        </w:rPr>
        <w:t xml:space="preserve"> </w:t>
      </w:r>
    </w:p>
    <w:p w14:paraId="53A9AA84" w14:textId="77777777" w:rsidR="00260F95" w:rsidRDefault="0045320A" w:rsidP="00260F95">
      <w:pPr>
        <w:spacing w:line="252" w:lineRule="auto"/>
        <w:ind w:firstLine="720"/>
        <w:jc w:val="both"/>
        <w:rPr>
          <w:sz w:val="24"/>
          <w:szCs w:val="24"/>
        </w:rPr>
      </w:pPr>
      <w:r w:rsidRPr="00C61F54">
        <w:rPr>
          <w:sz w:val="24"/>
          <w:szCs w:val="24"/>
        </w:rPr>
        <w:t>Vēršam Jūsu uzmanību, ka</w:t>
      </w:r>
      <w:r>
        <w:rPr>
          <w:sz w:val="24"/>
          <w:szCs w:val="24"/>
        </w:rPr>
        <w:t xml:space="preserve"> ar pamatotu iemeslu,</w:t>
      </w:r>
      <w:r w:rsidRPr="00C61F54">
        <w:rPr>
          <w:sz w:val="24"/>
          <w:szCs w:val="24"/>
        </w:rPr>
        <w:t xml:space="preserve"> </w:t>
      </w:r>
      <w:r>
        <w:rPr>
          <w:sz w:val="24"/>
          <w:szCs w:val="24"/>
        </w:rPr>
        <w:t>būs</w:t>
      </w:r>
      <w:r w:rsidRPr="00C61F54">
        <w:rPr>
          <w:sz w:val="24"/>
          <w:szCs w:val="24"/>
        </w:rPr>
        <w:t xml:space="preserve"> iespējams noformēt</w:t>
      </w:r>
      <w:r>
        <w:rPr>
          <w:sz w:val="24"/>
          <w:szCs w:val="24"/>
        </w:rPr>
        <w:t xml:space="preserve"> un saņemt </w:t>
      </w:r>
      <w:r w:rsidRPr="00C61F54">
        <w:rPr>
          <w:sz w:val="24"/>
          <w:szCs w:val="24"/>
        </w:rPr>
        <w:t xml:space="preserve">vakcīnu </w:t>
      </w:r>
      <w:r w:rsidRPr="00C61F54">
        <w:rPr>
          <w:sz w:val="24"/>
          <w:szCs w:val="24"/>
        </w:rPr>
        <w:t xml:space="preserve">ārpus kārtējā pasūtījuma. Ja nepieciešama papildu vakcīna, vakcinācijas iestāde sagatavo un iesniedz </w:t>
      </w:r>
      <w:r>
        <w:rPr>
          <w:sz w:val="24"/>
          <w:szCs w:val="24"/>
        </w:rPr>
        <w:t>Centra</w:t>
      </w:r>
      <w:r w:rsidRPr="00C61F54">
        <w:rPr>
          <w:sz w:val="24"/>
          <w:szCs w:val="24"/>
        </w:rPr>
        <w:t xml:space="preserve"> attiecīgās reģionālās nodaļas epidemiologam rakstisku pieprasījumu</w:t>
      </w:r>
      <w:r>
        <w:rPr>
          <w:sz w:val="24"/>
          <w:szCs w:val="24"/>
        </w:rPr>
        <w:t>.</w:t>
      </w:r>
      <w:r w:rsidRPr="00C61F54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C40DC1">
        <w:rPr>
          <w:sz w:val="24"/>
          <w:szCs w:val="24"/>
        </w:rPr>
        <w:t>eidlapa</w:t>
      </w:r>
      <w:r>
        <w:rPr>
          <w:sz w:val="24"/>
          <w:szCs w:val="24"/>
        </w:rPr>
        <w:t xml:space="preserve"> ārpuskārtas vakcīnu pieprasījuma noformēšanai ir </w:t>
      </w:r>
      <w:r w:rsidRPr="00C40DC1">
        <w:rPr>
          <w:sz w:val="24"/>
          <w:szCs w:val="24"/>
        </w:rPr>
        <w:t xml:space="preserve">pieejama </w:t>
      </w:r>
      <w:r>
        <w:rPr>
          <w:sz w:val="24"/>
          <w:szCs w:val="24"/>
        </w:rPr>
        <w:t>Centra</w:t>
      </w:r>
      <w:r w:rsidRPr="00C40DC1">
        <w:rPr>
          <w:sz w:val="24"/>
          <w:szCs w:val="24"/>
        </w:rPr>
        <w:t xml:space="preserve"> tīmekļ</w:t>
      </w:r>
      <w:r w:rsidRPr="00C40DC1">
        <w:rPr>
          <w:sz w:val="24"/>
          <w:szCs w:val="24"/>
        </w:rPr>
        <w:t xml:space="preserve">a vietnes sadaļā “Profesionāļiem → </w:t>
      </w:r>
      <w:r>
        <w:rPr>
          <w:sz w:val="24"/>
          <w:szCs w:val="24"/>
        </w:rPr>
        <w:t xml:space="preserve">Infekcijas slimību informācija profesionāļiem </w:t>
      </w:r>
      <w:r w:rsidRPr="00C40DC1">
        <w:rPr>
          <w:sz w:val="24"/>
          <w:szCs w:val="24"/>
        </w:rPr>
        <w:t>→</w:t>
      </w:r>
      <w:r>
        <w:rPr>
          <w:sz w:val="24"/>
          <w:szCs w:val="24"/>
        </w:rPr>
        <w:t xml:space="preserve"> </w:t>
      </w:r>
      <w:r w:rsidRPr="00C40DC1">
        <w:rPr>
          <w:sz w:val="24"/>
          <w:szCs w:val="24"/>
        </w:rPr>
        <w:t>Vakcinācija</w:t>
      </w:r>
      <w:r>
        <w:rPr>
          <w:sz w:val="24"/>
          <w:szCs w:val="24"/>
        </w:rPr>
        <w:t>”</w:t>
      </w:r>
      <w:r w:rsidRPr="00C61F54">
        <w:rPr>
          <w:sz w:val="24"/>
          <w:szCs w:val="24"/>
        </w:rPr>
        <w:t xml:space="preserve">. Piegādātājs apņemas piegādāt vakcīnu </w:t>
      </w:r>
      <w:r w:rsidRPr="00893A08">
        <w:rPr>
          <w:sz w:val="24"/>
          <w:szCs w:val="24"/>
          <w:u w:val="single"/>
        </w:rPr>
        <w:t>piecu darbdienu laikā</w:t>
      </w:r>
      <w:r w:rsidRPr="00C61F54">
        <w:rPr>
          <w:sz w:val="24"/>
          <w:szCs w:val="24"/>
        </w:rPr>
        <w:t xml:space="preserve"> no </w:t>
      </w:r>
      <w:r>
        <w:rPr>
          <w:sz w:val="24"/>
          <w:szCs w:val="24"/>
        </w:rPr>
        <w:t>Centrs</w:t>
      </w:r>
      <w:r w:rsidRPr="00C61F54">
        <w:rPr>
          <w:sz w:val="24"/>
          <w:szCs w:val="24"/>
        </w:rPr>
        <w:t xml:space="preserve"> elektroniskā pasūtījuma saņemšanas brīža</w:t>
      </w:r>
      <w:r>
        <w:rPr>
          <w:sz w:val="24"/>
          <w:szCs w:val="24"/>
        </w:rPr>
        <w:t>.</w:t>
      </w:r>
    </w:p>
    <w:p w14:paraId="2EFF74CD" w14:textId="77777777" w:rsidR="00260F95" w:rsidRDefault="0045320A" w:rsidP="00260F95">
      <w:pPr>
        <w:ind w:firstLine="420"/>
        <w:jc w:val="both"/>
        <w:rPr>
          <w:sz w:val="24"/>
          <w:szCs w:val="24"/>
        </w:rPr>
      </w:pPr>
      <w:r>
        <w:rPr>
          <w:sz w:val="24"/>
          <w:szCs w:val="24"/>
        </w:rPr>
        <w:t>Vakcinācijai pret gripu ir jāizmanto 2021./2022.</w:t>
      </w:r>
      <w:r>
        <w:rPr>
          <w:sz w:val="24"/>
          <w:szCs w:val="24"/>
        </w:rPr>
        <w:t xml:space="preserve"> gada sezonai paredzētā vakcīna. </w:t>
      </w:r>
      <w:r w:rsidRPr="00346560">
        <w:rPr>
          <w:sz w:val="24"/>
          <w:szCs w:val="24"/>
        </w:rPr>
        <w:t xml:space="preserve">Ja vakcinācijas iestādēs ir iepriekšējās sezonas vakcīnu atlikumi, tie ir jānoraksta </w:t>
      </w:r>
      <w:r w:rsidRPr="00346560">
        <w:rPr>
          <w:color w:val="000000"/>
          <w:sz w:val="24"/>
          <w:szCs w:val="24"/>
        </w:rPr>
        <w:t>pirms jaunās sezonas pirmā pasūtījuma veikšanas</w:t>
      </w:r>
      <w:r>
        <w:rPr>
          <w:color w:val="000000"/>
          <w:sz w:val="24"/>
          <w:szCs w:val="24"/>
        </w:rPr>
        <w:t xml:space="preserve">, </w:t>
      </w:r>
      <w:r w:rsidRPr="00346560">
        <w:rPr>
          <w:color w:val="000000"/>
          <w:sz w:val="24"/>
          <w:szCs w:val="24"/>
        </w:rPr>
        <w:t>atbilstoši Noteikumu 8. pielikumam</w:t>
      </w:r>
      <w:r>
        <w:rPr>
          <w:color w:val="000000"/>
          <w:sz w:val="24"/>
          <w:szCs w:val="24"/>
        </w:rPr>
        <w:t xml:space="preserve"> </w:t>
      </w:r>
      <w:r w:rsidRPr="00346560">
        <w:rPr>
          <w:i/>
          <w:iCs/>
          <w:color w:val="000000"/>
          <w:sz w:val="24"/>
          <w:szCs w:val="24"/>
        </w:rPr>
        <w:t>“Pārskats par vakcīnu norakstīšanu/atdošanu atpakaļ”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V</w:t>
      </w:r>
      <w:r w:rsidRPr="00C40DC1">
        <w:rPr>
          <w:sz w:val="24"/>
          <w:szCs w:val="24"/>
        </w:rPr>
        <w:t>eidlapa</w:t>
      </w:r>
      <w:r>
        <w:rPr>
          <w:sz w:val="24"/>
          <w:szCs w:val="24"/>
        </w:rPr>
        <w:t xml:space="preserve"> </w:t>
      </w:r>
      <w:r w:rsidRPr="00C40DC1">
        <w:rPr>
          <w:sz w:val="24"/>
          <w:szCs w:val="24"/>
        </w:rPr>
        <w:t xml:space="preserve">pieejama </w:t>
      </w:r>
      <w:r>
        <w:rPr>
          <w:sz w:val="24"/>
          <w:szCs w:val="24"/>
        </w:rPr>
        <w:t>Centra</w:t>
      </w:r>
      <w:r w:rsidRPr="00C40DC1">
        <w:rPr>
          <w:sz w:val="24"/>
          <w:szCs w:val="24"/>
        </w:rPr>
        <w:t xml:space="preserve"> tīmekļa vietnes</w:t>
      </w:r>
      <w:r>
        <w:rPr>
          <w:sz w:val="24"/>
          <w:szCs w:val="24"/>
        </w:rPr>
        <w:t xml:space="preserve"> </w:t>
      </w:r>
      <w:r w:rsidRPr="00C40DC1">
        <w:rPr>
          <w:sz w:val="24"/>
          <w:szCs w:val="24"/>
        </w:rPr>
        <w:t xml:space="preserve">sadaļā “Profesionāļiem → </w:t>
      </w:r>
      <w:r>
        <w:rPr>
          <w:sz w:val="24"/>
          <w:szCs w:val="24"/>
        </w:rPr>
        <w:t xml:space="preserve">Infekcijas slimību informācija profesionāļiem </w:t>
      </w:r>
      <w:r w:rsidRPr="00C40DC1">
        <w:rPr>
          <w:sz w:val="24"/>
          <w:szCs w:val="24"/>
        </w:rPr>
        <w:t>→</w:t>
      </w:r>
      <w:r>
        <w:rPr>
          <w:sz w:val="24"/>
          <w:szCs w:val="24"/>
        </w:rPr>
        <w:t xml:space="preserve"> </w:t>
      </w:r>
      <w:r w:rsidRPr="00C40DC1">
        <w:rPr>
          <w:sz w:val="24"/>
          <w:szCs w:val="24"/>
        </w:rPr>
        <w:t>Vakcinācija</w:t>
      </w:r>
      <w:r>
        <w:rPr>
          <w:sz w:val="24"/>
          <w:szCs w:val="24"/>
        </w:rPr>
        <w:t>”.</w:t>
      </w:r>
    </w:p>
    <w:p w14:paraId="1930B710" w14:textId="77777777" w:rsidR="00260F95" w:rsidRDefault="0045320A" w:rsidP="00260F95">
      <w:pPr>
        <w:spacing w:line="252" w:lineRule="auto"/>
        <w:ind w:firstLine="720"/>
        <w:jc w:val="both"/>
        <w:rPr>
          <w:sz w:val="24"/>
          <w:szCs w:val="24"/>
        </w:rPr>
      </w:pPr>
      <w:r w:rsidRPr="00DC6887">
        <w:rPr>
          <w:sz w:val="24"/>
          <w:szCs w:val="24"/>
        </w:rPr>
        <w:t xml:space="preserve">Atbilstoši </w:t>
      </w:r>
      <w:r>
        <w:rPr>
          <w:sz w:val="24"/>
          <w:szCs w:val="24"/>
        </w:rPr>
        <w:t>N</w:t>
      </w:r>
      <w:r w:rsidRPr="00DC6887">
        <w:rPr>
          <w:sz w:val="24"/>
          <w:szCs w:val="24"/>
        </w:rPr>
        <w:t>oteikumu 2. punktam vakcināciju organizē un īsteno vakcinācijas iestādes. Vakcinācijas iestādes ir ārstniecības iestādes, kas atbilst normatīvajos aktos noteiktajām obligātajām prasībām ārstniecības iestādēm un to struktūrvienībām un pamatprasībām par higi</w:t>
      </w:r>
      <w:r w:rsidRPr="00DC6887">
        <w:rPr>
          <w:sz w:val="24"/>
          <w:szCs w:val="24"/>
        </w:rPr>
        <w:t xml:space="preserve">ēnisko un </w:t>
      </w:r>
      <w:proofErr w:type="spellStart"/>
      <w:r w:rsidRPr="00DC6887">
        <w:rPr>
          <w:sz w:val="24"/>
          <w:szCs w:val="24"/>
        </w:rPr>
        <w:t>pretepidēmisko</w:t>
      </w:r>
      <w:proofErr w:type="spellEnd"/>
      <w:r w:rsidRPr="00DC6887">
        <w:rPr>
          <w:sz w:val="24"/>
          <w:szCs w:val="24"/>
        </w:rPr>
        <w:t xml:space="preserve"> režīmu ārstniecības iestādē. Pirms vakcīnas pasūtīšanas jāpārliecinās par iespēju nodrošināt vakcināciju telpā, kas atbilst noteikumu 17. punkta prasībām, un </w:t>
      </w:r>
      <w:r>
        <w:rPr>
          <w:sz w:val="24"/>
          <w:szCs w:val="24"/>
        </w:rPr>
        <w:t>jā</w:t>
      </w:r>
      <w:r w:rsidRPr="00DC6887">
        <w:rPr>
          <w:sz w:val="24"/>
          <w:szCs w:val="24"/>
        </w:rPr>
        <w:t xml:space="preserve">ievēro </w:t>
      </w:r>
      <w:r>
        <w:rPr>
          <w:sz w:val="24"/>
          <w:szCs w:val="24"/>
        </w:rPr>
        <w:t xml:space="preserve">ražotāja noteiktie </w:t>
      </w:r>
      <w:r w:rsidRPr="00DC6887">
        <w:rPr>
          <w:sz w:val="24"/>
          <w:szCs w:val="24"/>
        </w:rPr>
        <w:t>vakcīnas uzglabāšanas noteikum</w:t>
      </w:r>
      <w:r>
        <w:rPr>
          <w:sz w:val="24"/>
          <w:szCs w:val="24"/>
        </w:rPr>
        <w:t>i</w:t>
      </w:r>
      <w:r w:rsidRPr="00DC6887">
        <w:rPr>
          <w:sz w:val="24"/>
          <w:szCs w:val="24"/>
        </w:rPr>
        <w:t xml:space="preserve">. Vakcīna </w:t>
      </w:r>
      <w:r>
        <w:rPr>
          <w:sz w:val="24"/>
          <w:szCs w:val="24"/>
        </w:rPr>
        <w:t>pret</w:t>
      </w:r>
      <w:r>
        <w:rPr>
          <w:sz w:val="24"/>
          <w:szCs w:val="24"/>
        </w:rPr>
        <w:t xml:space="preserve"> gripu </w:t>
      </w:r>
      <w:r w:rsidRPr="00DC6887">
        <w:rPr>
          <w:sz w:val="24"/>
          <w:szCs w:val="24"/>
        </w:rPr>
        <w:t>jāuzglabā ledusskapī temperatūrā +2</w:t>
      </w:r>
      <w:r w:rsidRPr="00DC6887">
        <w:rPr>
          <w:rFonts w:ascii="Symbol" w:hAnsi="Symbol"/>
          <w:sz w:val="24"/>
          <w:szCs w:val="24"/>
        </w:rPr>
        <w:sym w:font="Symbol" w:char="F0B0"/>
      </w:r>
      <w:r w:rsidRPr="00DC6887">
        <w:rPr>
          <w:sz w:val="24"/>
          <w:szCs w:val="24"/>
        </w:rPr>
        <w:t>C - +8</w:t>
      </w:r>
      <w:r w:rsidRPr="00DC6887">
        <w:rPr>
          <w:rFonts w:ascii="Symbol" w:hAnsi="Symbol"/>
          <w:sz w:val="24"/>
          <w:szCs w:val="24"/>
        </w:rPr>
        <w:sym w:font="Symbol" w:char="F0B0"/>
      </w:r>
      <w:r w:rsidRPr="00DC6887">
        <w:rPr>
          <w:sz w:val="24"/>
          <w:szCs w:val="24"/>
        </w:rPr>
        <w:t>C. Vakcīnu nedrīkst sasaldēt, un šļirce ar vakcīnu jāuzglabā iepakojumā, lai to pasargātu no gaismas.</w:t>
      </w:r>
    </w:p>
    <w:p w14:paraId="7CEBAB70" w14:textId="77777777" w:rsidR="00260F95" w:rsidRDefault="0045320A" w:rsidP="00260F95">
      <w:pPr>
        <w:spacing w:line="252" w:lineRule="auto"/>
        <w:ind w:firstLine="720"/>
        <w:jc w:val="both"/>
        <w:rPr>
          <w:sz w:val="24"/>
          <w:szCs w:val="24"/>
        </w:rPr>
      </w:pPr>
      <w:r w:rsidRPr="00BE4FC4">
        <w:rPr>
          <w:sz w:val="24"/>
          <w:szCs w:val="24"/>
        </w:rPr>
        <w:t>Bērnu no 6 mēnešu līdz 23 mēnešu vecumam (ieskaitot) un grūtnieču vakcinācija</w:t>
      </w:r>
      <w:r>
        <w:rPr>
          <w:sz w:val="24"/>
          <w:szCs w:val="24"/>
        </w:rPr>
        <w:t xml:space="preserve"> 2021.-2022. sezonā tiks no</w:t>
      </w:r>
      <w:r>
        <w:rPr>
          <w:sz w:val="24"/>
          <w:szCs w:val="24"/>
        </w:rPr>
        <w:t xml:space="preserve">drošināta ar </w:t>
      </w:r>
      <w:r w:rsidRPr="00BE4FC4">
        <w:rPr>
          <w:sz w:val="24"/>
          <w:szCs w:val="24"/>
        </w:rPr>
        <w:t>valsts iepirkumā</w:t>
      </w:r>
      <w:r>
        <w:rPr>
          <w:sz w:val="24"/>
          <w:szCs w:val="24"/>
        </w:rPr>
        <w:t xml:space="preserve"> </w:t>
      </w:r>
      <w:r w:rsidRPr="00BE4FC4">
        <w:rPr>
          <w:sz w:val="24"/>
          <w:szCs w:val="24"/>
        </w:rPr>
        <w:t>iegādāt</w:t>
      </w:r>
      <w:r>
        <w:rPr>
          <w:sz w:val="24"/>
          <w:szCs w:val="24"/>
        </w:rPr>
        <w:t>ām</w:t>
      </w:r>
      <w:r w:rsidRPr="00BE4F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vakcīnām: ar ražotāja </w:t>
      </w:r>
      <w:r w:rsidRPr="00BE4FC4">
        <w:rPr>
          <w:sz w:val="24"/>
          <w:szCs w:val="24"/>
        </w:rPr>
        <w:t xml:space="preserve">“Sanofi </w:t>
      </w:r>
      <w:proofErr w:type="spellStart"/>
      <w:r w:rsidRPr="00BE4FC4">
        <w:rPr>
          <w:sz w:val="24"/>
          <w:szCs w:val="24"/>
        </w:rPr>
        <w:t>Pasteur</w:t>
      </w:r>
      <w:proofErr w:type="spellEnd"/>
      <w:r w:rsidRPr="00BE4FC4">
        <w:rPr>
          <w:sz w:val="24"/>
          <w:szCs w:val="24"/>
        </w:rPr>
        <w:t>” (Francija) vakcīn</w:t>
      </w:r>
      <w:r>
        <w:rPr>
          <w:sz w:val="24"/>
          <w:szCs w:val="24"/>
        </w:rPr>
        <w:t>u</w:t>
      </w:r>
      <w:r w:rsidRPr="00BE4FC4">
        <w:rPr>
          <w:sz w:val="24"/>
          <w:szCs w:val="24"/>
        </w:rPr>
        <w:t xml:space="preserve"> </w:t>
      </w:r>
      <w:proofErr w:type="spellStart"/>
      <w:r w:rsidRPr="00BE4FC4">
        <w:rPr>
          <w:i/>
          <w:iCs/>
          <w:sz w:val="24"/>
          <w:szCs w:val="24"/>
        </w:rPr>
        <w:t>Vaxigrip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BE4FC4">
        <w:rPr>
          <w:i/>
          <w:iCs/>
          <w:sz w:val="24"/>
          <w:szCs w:val="24"/>
        </w:rPr>
        <w:t>Tetra</w:t>
      </w:r>
      <w:proofErr w:type="spellEnd"/>
      <w:r w:rsidRPr="00BE4FC4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. B</w:t>
      </w:r>
      <w:r w:rsidRPr="00BE4FC4">
        <w:rPr>
          <w:sz w:val="24"/>
          <w:szCs w:val="24"/>
        </w:rPr>
        <w:t>ērn</w:t>
      </w:r>
      <w:r>
        <w:rPr>
          <w:sz w:val="24"/>
          <w:szCs w:val="24"/>
        </w:rPr>
        <w:t>iem</w:t>
      </w:r>
      <w:r w:rsidRPr="00BE4FC4">
        <w:rPr>
          <w:sz w:val="24"/>
          <w:szCs w:val="24"/>
        </w:rPr>
        <w:t xml:space="preserve"> no 6 mēnešu līdz 23 mēnešu vecumam (ieskaitot) un grūtnie</w:t>
      </w:r>
      <w:r>
        <w:rPr>
          <w:sz w:val="24"/>
          <w:szCs w:val="24"/>
        </w:rPr>
        <w:t>cēm vakcīnu piegādes</w:t>
      </w:r>
      <w:r w:rsidRPr="00BE4FC4">
        <w:rPr>
          <w:sz w:val="24"/>
          <w:szCs w:val="24"/>
        </w:rPr>
        <w:t xml:space="preserve"> vakcinācijas iestādēm </w:t>
      </w:r>
      <w:r>
        <w:rPr>
          <w:sz w:val="24"/>
          <w:szCs w:val="24"/>
        </w:rPr>
        <w:t>nodrošinās</w:t>
      </w:r>
      <w:r w:rsidRPr="00BE4FC4">
        <w:rPr>
          <w:sz w:val="24"/>
          <w:szCs w:val="24"/>
        </w:rPr>
        <w:t xml:space="preserve"> </w:t>
      </w:r>
      <w:r>
        <w:rPr>
          <w:sz w:val="24"/>
          <w:szCs w:val="24"/>
        </w:rPr>
        <w:t>SIA “Vakcīna”.</w:t>
      </w:r>
    </w:p>
    <w:p w14:paraId="781CE497" w14:textId="77777777" w:rsidR="00260F95" w:rsidRDefault="0045320A" w:rsidP="00260F95">
      <w:pPr>
        <w:jc w:val="both"/>
        <w:rPr>
          <w:sz w:val="24"/>
          <w:szCs w:val="24"/>
        </w:rPr>
      </w:pPr>
      <w:r>
        <w:rPr>
          <w:sz w:val="24"/>
          <w:szCs w:val="24"/>
        </w:rPr>
        <w:t>Vakcīna</w:t>
      </w:r>
      <w:r>
        <w:rPr>
          <w:sz w:val="24"/>
          <w:szCs w:val="24"/>
        </w:rPr>
        <w:t xml:space="preserve"> pret gripu riska grupām 2021.-2022. sezonā tiks nodrošināta ar </w:t>
      </w:r>
      <w:r w:rsidRPr="00BE4FC4">
        <w:rPr>
          <w:sz w:val="24"/>
          <w:szCs w:val="24"/>
        </w:rPr>
        <w:t>valsts iepirkumā</w:t>
      </w:r>
      <w:r>
        <w:rPr>
          <w:sz w:val="24"/>
          <w:szCs w:val="24"/>
        </w:rPr>
        <w:t xml:space="preserve"> </w:t>
      </w:r>
      <w:r w:rsidRPr="00BE4FC4">
        <w:rPr>
          <w:sz w:val="24"/>
          <w:szCs w:val="24"/>
        </w:rPr>
        <w:t>iegādāt</w:t>
      </w:r>
      <w:r>
        <w:rPr>
          <w:sz w:val="24"/>
          <w:szCs w:val="24"/>
        </w:rPr>
        <w:t>ām</w:t>
      </w:r>
      <w:r w:rsidRPr="00BE4F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vakcīnām: ar ražotāja </w:t>
      </w:r>
      <w:r w:rsidRPr="00BE4FC4">
        <w:rPr>
          <w:sz w:val="24"/>
          <w:szCs w:val="24"/>
        </w:rPr>
        <w:t xml:space="preserve">“Sanofi </w:t>
      </w:r>
      <w:proofErr w:type="spellStart"/>
      <w:r w:rsidRPr="00BE4FC4">
        <w:rPr>
          <w:sz w:val="24"/>
          <w:szCs w:val="24"/>
        </w:rPr>
        <w:t>Pasteur</w:t>
      </w:r>
      <w:proofErr w:type="spellEnd"/>
      <w:r w:rsidRPr="00BE4FC4">
        <w:rPr>
          <w:sz w:val="24"/>
          <w:szCs w:val="24"/>
        </w:rPr>
        <w:t>” (Francija) vakcīn</w:t>
      </w:r>
      <w:r>
        <w:rPr>
          <w:sz w:val="24"/>
          <w:szCs w:val="24"/>
        </w:rPr>
        <w:t>u</w:t>
      </w:r>
      <w:r w:rsidRPr="00BE4FC4">
        <w:rPr>
          <w:sz w:val="24"/>
          <w:szCs w:val="24"/>
        </w:rPr>
        <w:t xml:space="preserve"> </w:t>
      </w:r>
      <w:proofErr w:type="spellStart"/>
      <w:r w:rsidRPr="00BE4FC4">
        <w:rPr>
          <w:i/>
          <w:iCs/>
          <w:sz w:val="24"/>
          <w:szCs w:val="24"/>
        </w:rPr>
        <w:t>Vaxigrip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BE4FC4">
        <w:rPr>
          <w:i/>
          <w:iCs/>
          <w:sz w:val="24"/>
          <w:szCs w:val="24"/>
        </w:rPr>
        <w:t>Tetra</w:t>
      </w:r>
      <w:proofErr w:type="spellEnd"/>
      <w:r>
        <w:rPr>
          <w:i/>
          <w:iCs/>
          <w:sz w:val="24"/>
          <w:szCs w:val="24"/>
        </w:rPr>
        <w:t xml:space="preserve"> </w:t>
      </w:r>
      <w:r w:rsidRPr="002D0B21">
        <w:rPr>
          <w:sz w:val="24"/>
          <w:szCs w:val="24"/>
        </w:rPr>
        <w:t xml:space="preserve">un </w:t>
      </w:r>
      <w:r>
        <w:rPr>
          <w:sz w:val="24"/>
          <w:szCs w:val="24"/>
        </w:rPr>
        <w:t xml:space="preserve">ar ražotāja “ABBOTT BIOLOGICA ALS B.V.” (Nīderlande) vakcīnu </w:t>
      </w:r>
      <w:proofErr w:type="spellStart"/>
      <w:r w:rsidRPr="002D0B21">
        <w:rPr>
          <w:i/>
          <w:iCs/>
          <w:sz w:val="24"/>
          <w:szCs w:val="24"/>
        </w:rPr>
        <w:t>Influvac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2D0B21">
        <w:rPr>
          <w:i/>
          <w:iCs/>
          <w:sz w:val="24"/>
          <w:szCs w:val="24"/>
        </w:rPr>
        <w:t>Tetra</w:t>
      </w:r>
      <w:proofErr w:type="spellEnd"/>
      <w:r>
        <w:rPr>
          <w:i/>
          <w:iCs/>
          <w:sz w:val="24"/>
          <w:szCs w:val="24"/>
        </w:rPr>
        <w:t xml:space="preserve">. </w:t>
      </w:r>
      <w:r w:rsidRPr="0071656F">
        <w:rPr>
          <w:sz w:val="24"/>
          <w:szCs w:val="24"/>
        </w:rPr>
        <w:t xml:space="preserve">Riska </w:t>
      </w:r>
      <w:r w:rsidRPr="0071656F">
        <w:rPr>
          <w:sz w:val="24"/>
          <w:szCs w:val="24"/>
        </w:rPr>
        <w:t>grupām vakcīnu piegādes vakcinācijas iestādēm nodrošinās</w:t>
      </w:r>
      <w:r>
        <w:rPr>
          <w:i/>
          <w:iCs/>
          <w:sz w:val="24"/>
          <w:szCs w:val="24"/>
        </w:rPr>
        <w:t xml:space="preserve"> SIA “</w:t>
      </w:r>
      <w:proofErr w:type="spellStart"/>
      <w:r>
        <w:rPr>
          <w:i/>
          <w:iCs/>
          <w:sz w:val="24"/>
          <w:szCs w:val="24"/>
        </w:rPr>
        <w:t>Oribalt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Riga</w:t>
      </w:r>
      <w:proofErr w:type="spellEnd"/>
      <w:r>
        <w:rPr>
          <w:i/>
          <w:iCs/>
          <w:sz w:val="24"/>
          <w:szCs w:val="24"/>
        </w:rPr>
        <w:t xml:space="preserve">” </w:t>
      </w:r>
      <w:r w:rsidRPr="0071656F">
        <w:rPr>
          <w:sz w:val="24"/>
          <w:szCs w:val="24"/>
        </w:rPr>
        <w:t>un</w:t>
      </w:r>
      <w:r>
        <w:rPr>
          <w:i/>
          <w:iCs/>
          <w:sz w:val="24"/>
          <w:szCs w:val="24"/>
        </w:rPr>
        <w:t xml:space="preserve"> SIA “Recipe Plus”.</w:t>
      </w:r>
    </w:p>
    <w:p w14:paraId="077A6D45" w14:textId="77777777" w:rsidR="00260F95" w:rsidRDefault="0045320A" w:rsidP="00260F95">
      <w:pPr>
        <w:ind w:firstLine="720"/>
        <w:jc w:val="both"/>
        <w:rPr>
          <w:sz w:val="24"/>
          <w:szCs w:val="24"/>
        </w:rPr>
      </w:pPr>
      <w:r w:rsidRPr="00BE4FC4">
        <w:rPr>
          <w:sz w:val="24"/>
          <w:szCs w:val="24"/>
        </w:rPr>
        <w:t>Aicinām zāļu aprakstā un lietošanas instrukcijā pievērst uzmanību norādei, ka bērniem līdz 9 gadu vecumam, kuri iepriekš nav vakcinēti, nepieciešams saņemt ot</w:t>
      </w:r>
      <w:r w:rsidRPr="00BE4FC4">
        <w:rPr>
          <w:sz w:val="24"/>
          <w:szCs w:val="24"/>
        </w:rPr>
        <w:t>ru 0,5 ml vakcīnas devu ar vismaz četru nedēļu intervālu.</w:t>
      </w:r>
    </w:p>
    <w:p w14:paraId="7EBE9FA4" w14:textId="77777777" w:rsidR="00C11092" w:rsidRDefault="00C11092" w:rsidP="00C11092">
      <w:pPr>
        <w:ind w:firstLine="720"/>
        <w:jc w:val="both"/>
        <w:rPr>
          <w:sz w:val="24"/>
          <w:szCs w:val="24"/>
        </w:rPr>
      </w:pPr>
    </w:p>
    <w:p w14:paraId="71FF63E4" w14:textId="77777777" w:rsidR="00951DFA" w:rsidRDefault="0045320A" w:rsidP="00951DFA">
      <w:pPr>
        <w:ind w:firstLine="720"/>
        <w:jc w:val="both"/>
        <w:rPr>
          <w:sz w:val="24"/>
          <w:szCs w:val="24"/>
        </w:rPr>
      </w:pPr>
      <w:r w:rsidRPr="00951DFA">
        <w:rPr>
          <w:sz w:val="24"/>
          <w:szCs w:val="24"/>
        </w:rPr>
        <w:t>1.</w:t>
      </w:r>
      <w:r>
        <w:rPr>
          <w:sz w:val="24"/>
          <w:szCs w:val="24"/>
        </w:rPr>
        <w:t xml:space="preserve"> p</w:t>
      </w:r>
      <w:r w:rsidRPr="00951DFA">
        <w:rPr>
          <w:sz w:val="24"/>
          <w:szCs w:val="24"/>
        </w:rPr>
        <w:t>ielikum</w:t>
      </w:r>
      <w:r>
        <w:rPr>
          <w:sz w:val="24"/>
          <w:szCs w:val="24"/>
        </w:rPr>
        <w:t>s:</w:t>
      </w:r>
      <w:r w:rsidRPr="00951DFA">
        <w:rPr>
          <w:sz w:val="24"/>
          <w:szCs w:val="24"/>
        </w:rPr>
        <w:t xml:space="preserve"> Ieteikumi vakcinācijai pret gripu 2021.-2022. gada sezonā</w:t>
      </w:r>
      <w:r w:rsidR="003545D2">
        <w:rPr>
          <w:sz w:val="24"/>
          <w:szCs w:val="24"/>
        </w:rPr>
        <w:t>.</w:t>
      </w:r>
    </w:p>
    <w:p w14:paraId="6DA811D8" w14:textId="77777777" w:rsidR="003545D2" w:rsidRDefault="0045320A" w:rsidP="00951DF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pielikums: Adresātu saraksts.</w:t>
      </w:r>
    </w:p>
    <w:p w14:paraId="63C17A96" w14:textId="77777777" w:rsidR="00477923" w:rsidRPr="003F6412" w:rsidRDefault="0045320A" w:rsidP="00D10884">
      <w:pPr>
        <w:tabs>
          <w:tab w:val="left" w:pos="6521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Direktore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Iveta Gavare</w:t>
      </w:r>
    </w:p>
    <w:p w14:paraId="1088B4B8" w14:textId="77777777" w:rsidR="002079F2" w:rsidRDefault="0045320A" w:rsidP="002079F2">
      <w:pPr>
        <w:pStyle w:val="BodyB"/>
        <w:rPr>
          <w:sz w:val="20"/>
        </w:rPr>
      </w:pPr>
      <w:r>
        <w:rPr>
          <w:noProof/>
          <w:sz w:val="20"/>
        </w:rPr>
        <w:t>Renāte Brenča</w:t>
      </w:r>
      <w:r>
        <w:rPr>
          <w:sz w:val="20"/>
        </w:rPr>
        <w:t xml:space="preserve"> </w:t>
      </w:r>
      <w:r>
        <w:rPr>
          <w:noProof/>
          <w:sz w:val="20"/>
        </w:rPr>
        <w:t>67081608</w:t>
      </w:r>
    </w:p>
    <w:p w14:paraId="6789C3B8" w14:textId="77777777" w:rsidR="00A91007" w:rsidRPr="00A91007" w:rsidRDefault="0045320A" w:rsidP="00477923">
      <w:pPr>
        <w:pStyle w:val="BodyB"/>
      </w:pPr>
      <w:r>
        <w:rPr>
          <w:noProof/>
          <w:sz w:val="20"/>
        </w:rPr>
        <w:t>renate.brenca@spkc.gov.lv</w:t>
      </w:r>
    </w:p>
    <w:sectPr w:rsidR="00A91007" w:rsidRPr="00A91007" w:rsidSect="008C265B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8CED" w14:textId="77777777" w:rsidR="0045320A" w:rsidRDefault="0045320A">
      <w:r>
        <w:separator/>
      </w:r>
    </w:p>
  </w:endnote>
  <w:endnote w:type="continuationSeparator" w:id="0">
    <w:p w14:paraId="42F62C12" w14:textId="77777777" w:rsidR="0045320A" w:rsidRDefault="0045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FBD6" w14:textId="77777777" w:rsidR="00F84E4B" w:rsidRDefault="0045320A" w:rsidP="00F84E4B">
    <w:pPr>
      <w:pStyle w:val="Footer"/>
      <w:jc w:val="center"/>
    </w:pPr>
    <w:r w:rsidRPr="001B3C4F">
      <w:t>DOKUMENTS PARAKSTĪTS ELEKTRONISKI AR DROŠU ELEKTRONISKO PARAKSTU</w:t>
    </w:r>
  </w:p>
  <w:p w14:paraId="0CA01112" w14:textId="77777777" w:rsidR="00CD015F" w:rsidRDefault="0045320A" w:rsidP="00F84E4B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F47D" w14:textId="77777777" w:rsidR="0045320A" w:rsidRDefault="0045320A">
      <w:r>
        <w:separator/>
      </w:r>
    </w:p>
  </w:footnote>
  <w:footnote w:type="continuationSeparator" w:id="0">
    <w:p w14:paraId="1D21678D" w14:textId="77777777" w:rsidR="0045320A" w:rsidRDefault="00453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7FC596C"/>
    <w:multiLevelType w:val="hybridMultilevel"/>
    <w:tmpl w:val="C5E0CD4A"/>
    <w:lvl w:ilvl="0" w:tplc="8D741608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A4E8CE2C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9B8DC58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DBB42490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B202570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8FB0B4A0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24E894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C0C4D5B4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D7324EF0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1">
    <w:nsid w:val="1BA65785"/>
    <w:multiLevelType w:val="hybridMultilevel"/>
    <w:tmpl w:val="4016F09A"/>
    <w:lvl w:ilvl="0" w:tplc="8EA82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70E0024" w:tentative="1">
      <w:start w:val="1"/>
      <w:numFmt w:val="lowerLetter"/>
      <w:lvlText w:val="%2."/>
      <w:lvlJc w:val="left"/>
      <w:pPr>
        <w:ind w:left="1800" w:hanging="360"/>
      </w:pPr>
    </w:lvl>
    <w:lvl w:ilvl="2" w:tplc="E5C0AD5A" w:tentative="1">
      <w:start w:val="1"/>
      <w:numFmt w:val="lowerRoman"/>
      <w:lvlText w:val="%3."/>
      <w:lvlJc w:val="right"/>
      <w:pPr>
        <w:ind w:left="2520" w:hanging="180"/>
      </w:pPr>
    </w:lvl>
    <w:lvl w:ilvl="3" w:tplc="CCC2D0B2" w:tentative="1">
      <w:start w:val="1"/>
      <w:numFmt w:val="decimal"/>
      <w:lvlText w:val="%4."/>
      <w:lvlJc w:val="left"/>
      <w:pPr>
        <w:ind w:left="3240" w:hanging="360"/>
      </w:pPr>
    </w:lvl>
    <w:lvl w:ilvl="4" w:tplc="C1C05ECE" w:tentative="1">
      <w:start w:val="1"/>
      <w:numFmt w:val="lowerLetter"/>
      <w:lvlText w:val="%5."/>
      <w:lvlJc w:val="left"/>
      <w:pPr>
        <w:ind w:left="3960" w:hanging="360"/>
      </w:pPr>
    </w:lvl>
    <w:lvl w:ilvl="5" w:tplc="5F7EEF84" w:tentative="1">
      <w:start w:val="1"/>
      <w:numFmt w:val="lowerRoman"/>
      <w:lvlText w:val="%6."/>
      <w:lvlJc w:val="right"/>
      <w:pPr>
        <w:ind w:left="4680" w:hanging="180"/>
      </w:pPr>
    </w:lvl>
    <w:lvl w:ilvl="6" w:tplc="595A4074" w:tentative="1">
      <w:start w:val="1"/>
      <w:numFmt w:val="decimal"/>
      <w:lvlText w:val="%7."/>
      <w:lvlJc w:val="left"/>
      <w:pPr>
        <w:ind w:left="5400" w:hanging="360"/>
      </w:pPr>
    </w:lvl>
    <w:lvl w:ilvl="7" w:tplc="F4F4CE62" w:tentative="1">
      <w:start w:val="1"/>
      <w:numFmt w:val="lowerLetter"/>
      <w:lvlText w:val="%8."/>
      <w:lvlJc w:val="left"/>
      <w:pPr>
        <w:ind w:left="6120" w:hanging="360"/>
      </w:pPr>
    </w:lvl>
    <w:lvl w:ilvl="8" w:tplc="18CEDA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25B84EF5"/>
    <w:multiLevelType w:val="multilevel"/>
    <w:tmpl w:val="82AC9C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abstractNum w:abstractNumId="3" w15:restartNumberingAfterBreak="1">
    <w:nsid w:val="6F776723"/>
    <w:multiLevelType w:val="hybridMultilevel"/>
    <w:tmpl w:val="75C4787A"/>
    <w:lvl w:ilvl="0" w:tplc="92147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70A9CC">
      <w:start w:val="1"/>
      <w:numFmt w:val="lowerLetter"/>
      <w:lvlText w:val="%2."/>
      <w:lvlJc w:val="left"/>
      <w:pPr>
        <w:ind w:left="1440" w:hanging="360"/>
      </w:pPr>
    </w:lvl>
    <w:lvl w:ilvl="2" w:tplc="ABF68F9A" w:tentative="1">
      <w:start w:val="1"/>
      <w:numFmt w:val="lowerRoman"/>
      <w:lvlText w:val="%3."/>
      <w:lvlJc w:val="right"/>
      <w:pPr>
        <w:ind w:left="2160" w:hanging="180"/>
      </w:pPr>
    </w:lvl>
    <w:lvl w:ilvl="3" w:tplc="A434F134" w:tentative="1">
      <w:start w:val="1"/>
      <w:numFmt w:val="decimal"/>
      <w:lvlText w:val="%4."/>
      <w:lvlJc w:val="left"/>
      <w:pPr>
        <w:ind w:left="2880" w:hanging="360"/>
      </w:pPr>
    </w:lvl>
    <w:lvl w:ilvl="4" w:tplc="0A6045E0" w:tentative="1">
      <w:start w:val="1"/>
      <w:numFmt w:val="lowerLetter"/>
      <w:lvlText w:val="%5."/>
      <w:lvlJc w:val="left"/>
      <w:pPr>
        <w:ind w:left="3600" w:hanging="360"/>
      </w:pPr>
    </w:lvl>
    <w:lvl w:ilvl="5" w:tplc="0BF89434" w:tentative="1">
      <w:start w:val="1"/>
      <w:numFmt w:val="lowerRoman"/>
      <w:lvlText w:val="%6."/>
      <w:lvlJc w:val="right"/>
      <w:pPr>
        <w:ind w:left="4320" w:hanging="180"/>
      </w:pPr>
    </w:lvl>
    <w:lvl w:ilvl="6" w:tplc="127EDABA" w:tentative="1">
      <w:start w:val="1"/>
      <w:numFmt w:val="decimal"/>
      <w:lvlText w:val="%7."/>
      <w:lvlJc w:val="left"/>
      <w:pPr>
        <w:ind w:left="5040" w:hanging="360"/>
      </w:pPr>
    </w:lvl>
    <w:lvl w:ilvl="7" w:tplc="D4787904" w:tentative="1">
      <w:start w:val="1"/>
      <w:numFmt w:val="lowerLetter"/>
      <w:lvlText w:val="%8."/>
      <w:lvlJc w:val="left"/>
      <w:pPr>
        <w:ind w:left="5760" w:hanging="360"/>
      </w:pPr>
    </w:lvl>
    <w:lvl w:ilvl="8" w:tplc="2B14F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C"/>
    <w:rsid w:val="00020179"/>
    <w:rsid w:val="000D65D1"/>
    <w:rsid w:val="00112C48"/>
    <w:rsid w:val="00154B6E"/>
    <w:rsid w:val="00195A3A"/>
    <w:rsid w:val="001963C5"/>
    <w:rsid w:val="001B3C4F"/>
    <w:rsid w:val="001F3DE1"/>
    <w:rsid w:val="002079F2"/>
    <w:rsid w:val="00222B8B"/>
    <w:rsid w:val="00237C47"/>
    <w:rsid w:val="00247E9C"/>
    <w:rsid w:val="00260F95"/>
    <w:rsid w:val="00280BAC"/>
    <w:rsid w:val="002D0B21"/>
    <w:rsid w:val="00346560"/>
    <w:rsid w:val="003545D2"/>
    <w:rsid w:val="00376EF5"/>
    <w:rsid w:val="003A5E2C"/>
    <w:rsid w:val="003E7BBE"/>
    <w:rsid w:val="003F2940"/>
    <w:rsid w:val="003F6412"/>
    <w:rsid w:val="00415D28"/>
    <w:rsid w:val="00443D6E"/>
    <w:rsid w:val="0045320A"/>
    <w:rsid w:val="004568DF"/>
    <w:rsid w:val="00456D43"/>
    <w:rsid w:val="00477923"/>
    <w:rsid w:val="004A063D"/>
    <w:rsid w:val="00505CA0"/>
    <w:rsid w:val="00522457"/>
    <w:rsid w:val="005249D9"/>
    <w:rsid w:val="0055269A"/>
    <w:rsid w:val="005603D1"/>
    <w:rsid w:val="00587CC8"/>
    <w:rsid w:val="005D3E87"/>
    <w:rsid w:val="0065437A"/>
    <w:rsid w:val="006765DF"/>
    <w:rsid w:val="006D3FD6"/>
    <w:rsid w:val="0071656F"/>
    <w:rsid w:val="007322A6"/>
    <w:rsid w:val="007906BB"/>
    <w:rsid w:val="00893003"/>
    <w:rsid w:val="00893A08"/>
    <w:rsid w:val="008B15BC"/>
    <w:rsid w:val="008B6D06"/>
    <w:rsid w:val="008B742D"/>
    <w:rsid w:val="008C265B"/>
    <w:rsid w:val="008E7774"/>
    <w:rsid w:val="00951DFA"/>
    <w:rsid w:val="00987215"/>
    <w:rsid w:val="00994AA3"/>
    <w:rsid w:val="009E26F3"/>
    <w:rsid w:val="00A23AAC"/>
    <w:rsid w:val="00A24A6B"/>
    <w:rsid w:val="00A277B8"/>
    <w:rsid w:val="00A54BEF"/>
    <w:rsid w:val="00A80EC2"/>
    <w:rsid w:val="00A91007"/>
    <w:rsid w:val="00B16961"/>
    <w:rsid w:val="00B86B76"/>
    <w:rsid w:val="00BC4490"/>
    <w:rsid w:val="00BE4FC4"/>
    <w:rsid w:val="00BE7124"/>
    <w:rsid w:val="00BF3D96"/>
    <w:rsid w:val="00C11092"/>
    <w:rsid w:val="00C12D6E"/>
    <w:rsid w:val="00C40DC1"/>
    <w:rsid w:val="00C4438A"/>
    <w:rsid w:val="00C61F54"/>
    <w:rsid w:val="00C92245"/>
    <w:rsid w:val="00CA27BF"/>
    <w:rsid w:val="00CB2202"/>
    <w:rsid w:val="00CB77F0"/>
    <w:rsid w:val="00CC1A82"/>
    <w:rsid w:val="00CC4ACE"/>
    <w:rsid w:val="00CC4F90"/>
    <w:rsid w:val="00CD015F"/>
    <w:rsid w:val="00CD523D"/>
    <w:rsid w:val="00D10884"/>
    <w:rsid w:val="00D5053F"/>
    <w:rsid w:val="00D831E1"/>
    <w:rsid w:val="00D92D62"/>
    <w:rsid w:val="00DB03E4"/>
    <w:rsid w:val="00DC0153"/>
    <w:rsid w:val="00DC1881"/>
    <w:rsid w:val="00DC6887"/>
    <w:rsid w:val="00DE33E0"/>
    <w:rsid w:val="00E029CF"/>
    <w:rsid w:val="00E10BEB"/>
    <w:rsid w:val="00E33119"/>
    <w:rsid w:val="00E402D8"/>
    <w:rsid w:val="00E46716"/>
    <w:rsid w:val="00E46A48"/>
    <w:rsid w:val="00E55896"/>
    <w:rsid w:val="00E92ACC"/>
    <w:rsid w:val="00EC6B3B"/>
    <w:rsid w:val="00EE4551"/>
    <w:rsid w:val="00EE7EE5"/>
    <w:rsid w:val="00F56D2A"/>
    <w:rsid w:val="00F84E4B"/>
    <w:rsid w:val="00FB54D0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6DD4C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</Template>
  <TotalTime>0</TotalTime>
  <Pages>2</Pages>
  <Words>3280</Words>
  <Characters>1871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Irina Haževska</cp:lastModifiedBy>
  <cp:revision>2</cp:revision>
  <cp:lastPrinted>2016-02-15T06:53:00Z</cp:lastPrinted>
  <dcterms:created xsi:type="dcterms:W3CDTF">2021-09-15T13:22:00Z</dcterms:created>
  <dcterms:modified xsi:type="dcterms:W3CDTF">2021-09-15T13:22:00Z</dcterms:modified>
</cp:coreProperties>
</file>