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17" w:rsidRPr="00010317" w:rsidRDefault="00010317" w:rsidP="00010317">
      <w:pPr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3</w:t>
      </w:r>
      <w:r w:rsidRPr="00010317">
        <w:rPr>
          <w:i/>
          <w:sz w:val="24"/>
          <w:szCs w:val="24"/>
        </w:rPr>
        <w:t xml:space="preserve">.pielikums </w:t>
      </w:r>
    </w:p>
    <w:p w:rsidR="00010317" w:rsidRPr="00010317" w:rsidRDefault="00010317" w:rsidP="00010317">
      <w:pPr>
        <w:jc w:val="right"/>
        <w:rPr>
          <w:i/>
          <w:sz w:val="24"/>
          <w:szCs w:val="24"/>
        </w:rPr>
      </w:pPr>
      <w:r w:rsidRPr="00010317">
        <w:rPr>
          <w:i/>
          <w:sz w:val="24"/>
          <w:szCs w:val="24"/>
        </w:rPr>
        <w:t xml:space="preserve">līgumam par sekundārās ambulatorās veselības aprūpes </w:t>
      </w:r>
    </w:p>
    <w:p w:rsidR="00236E09" w:rsidRDefault="00010317" w:rsidP="00010317">
      <w:pPr>
        <w:jc w:val="right"/>
        <w:rPr>
          <w:i/>
          <w:sz w:val="24"/>
          <w:szCs w:val="24"/>
        </w:rPr>
      </w:pPr>
      <w:r w:rsidRPr="00010317">
        <w:rPr>
          <w:i/>
          <w:sz w:val="24"/>
          <w:szCs w:val="24"/>
        </w:rPr>
        <w:t>pakalpojuma – grūtnieču aprūpe sniegšanu un apmaksu</w:t>
      </w:r>
    </w:p>
    <w:p w:rsidR="00010317" w:rsidRDefault="00010317" w:rsidP="00010317">
      <w:pPr>
        <w:jc w:val="right"/>
        <w:rPr>
          <w:b/>
          <w:sz w:val="24"/>
          <w:szCs w:val="24"/>
          <w:lang w:eastAsia="lv-LV"/>
        </w:rPr>
      </w:pPr>
    </w:p>
    <w:p w:rsidR="00236E09" w:rsidRDefault="00236E09" w:rsidP="00236E09">
      <w:pPr>
        <w:jc w:val="center"/>
        <w:rPr>
          <w:b/>
          <w:bCs/>
          <w:sz w:val="28"/>
          <w:szCs w:val="28"/>
          <w:lang w:eastAsia="lv-LV"/>
        </w:rPr>
      </w:pPr>
      <w:r w:rsidRPr="0036614D">
        <w:rPr>
          <w:b/>
          <w:bCs/>
          <w:sz w:val="28"/>
          <w:szCs w:val="28"/>
          <w:lang w:eastAsia="lv-LV"/>
        </w:rPr>
        <w:t>Ārstniecības personu saraksts un darba grafiks</w:t>
      </w:r>
    </w:p>
    <w:p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Default="00AD1BD6" w:rsidP="00874BCC">
      <w:pPr>
        <w:rPr>
          <w:b/>
          <w:sz w:val="24"/>
          <w:szCs w:val="24"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:rsidR="003F5018" w:rsidRDefault="003F5018" w:rsidP="003F5018">
      <w:pPr>
        <w:pStyle w:val="ListParagraph"/>
        <w:rPr>
          <w:b/>
          <w:sz w:val="24"/>
          <w:szCs w:val="24"/>
          <w:lang w:eastAsia="lv-LV"/>
        </w:rPr>
      </w:pPr>
    </w:p>
    <w:p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:rsidR="000D28FF" w:rsidRDefault="000D28FF" w:rsidP="000D28FF">
      <w:pPr>
        <w:pStyle w:val="ListParagraph"/>
        <w:ind w:left="1146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:rsidR="000D28FF" w:rsidRP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:rsidR="00972A5F" w:rsidRPr="00972A5F" w:rsidRDefault="00972A5F" w:rsidP="00972A5F">
      <w:pPr>
        <w:ind w:left="786"/>
        <w:rPr>
          <w:b/>
          <w:sz w:val="24"/>
          <w:szCs w:val="24"/>
          <w:lang w:eastAsia="lv-LV"/>
        </w:rPr>
      </w:pPr>
    </w:p>
    <w:p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p w:rsidR="007B6658" w:rsidRPr="00AD1BD6" w:rsidRDefault="007B6658" w:rsidP="007B6658">
      <w:pPr>
        <w:rPr>
          <w:b/>
          <w:bCs/>
          <w:sz w:val="24"/>
          <w:szCs w:val="24"/>
          <w:lang w:eastAsia="lv-LV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417"/>
        <w:gridCol w:w="993"/>
        <w:gridCol w:w="1701"/>
        <w:gridCol w:w="779"/>
        <w:gridCol w:w="780"/>
        <w:gridCol w:w="779"/>
        <w:gridCol w:w="780"/>
        <w:gridCol w:w="779"/>
        <w:gridCol w:w="780"/>
        <w:gridCol w:w="3402"/>
      </w:tblGrid>
      <w:tr w:rsidR="007B6658" w:rsidRPr="00AD1BD6" w:rsidTr="00023E70">
        <w:trPr>
          <w:trHeight w:val="52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7B6658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N</w:t>
            </w:r>
            <w:r>
              <w:rPr>
                <w:b/>
                <w:bCs/>
                <w:lang w:eastAsia="lv-LV"/>
              </w:rPr>
              <w:t>r</w:t>
            </w:r>
            <w:r w:rsidRPr="00AD1BD6">
              <w:rPr>
                <w:b/>
                <w:bCs/>
                <w:lang w:eastAsia="lv-LV"/>
              </w:rPr>
              <w:t>.</w:t>
            </w:r>
          </w:p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6658" w:rsidRPr="00AD1BD6" w:rsidRDefault="00023E70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4677" w:type="dxa"/>
            <w:gridSpan w:val="6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3402" w:type="dxa"/>
            <w:vMerge w:val="restart"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 izrakstīt kompensējamos medikamentus (+ vai -)</w:t>
            </w:r>
          </w:p>
        </w:tc>
      </w:tr>
      <w:tr w:rsidR="007B6658" w:rsidRPr="00AD1BD6" w:rsidTr="00023E70">
        <w:trPr>
          <w:trHeight w:val="520"/>
        </w:trPr>
        <w:tc>
          <w:tcPr>
            <w:tcW w:w="708" w:type="dxa"/>
            <w:vMerge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Pr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Pk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3402" w:type="dxa"/>
            <w:vMerge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:rsidTr="00286BC6">
        <w:trPr>
          <w:trHeight w:val="520"/>
        </w:trPr>
        <w:tc>
          <w:tcPr>
            <w:tcW w:w="14316" w:type="dxa"/>
            <w:gridSpan w:val="12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 w:right="-108"/>
              <w:rPr>
                <w:b/>
                <w:bCs/>
                <w:lang w:eastAsia="lv-LV"/>
              </w:rPr>
            </w:pPr>
            <w:r>
              <w:t>4.1. Pakalpojumu sniegšanas adrese:</w:t>
            </w:r>
          </w:p>
        </w:tc>
      </w:tr>
      <w:tr w:rsidR="007B6658" w:rsidRPr="00AD1BD6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 w:rsidRPr="006C7C6F">
              <w:rPr>
                <w:bCs/>
                <w:lang w:eastAsia="lv-LV"/>
              </w:rPr>
              <w:t>4.1.1.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:rsidTr="00286BC6">
        <w:trPr>
          <w:trHeight w:val="520"/>
        </w:trPr>
        <w:tc>
          <w:tcPr>
            <w:tcW w:w="14316" w:type="dxa"/>
            <w:gridSpan w:val="12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 w:right="-108"/>
              <w:rPr>
                <w:b/>
                <w:bCs/>
                <w:lang w:eastAsia="lv-LV"/>
              </w:rPr>
            </w:pPr>
            <w:r>
              <w:lastRenderedPageBreak/>
              <w:t xml:space="preserve">4.2. </w:t>
            </w:r>
            <w:r w:rsidRPr="00AD1BD6">
              <w:t>Pakalpojumu sniegšanas adrese</w:t>
            </w:r>
            <w:r>
              <w:t>:</w:t>
            </w:r>
          </w:p>
        </w:tc>
      </w:tr>
      <w:tr w:rsidR="007B6658" w:rsidRPr="00AD1BD6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</w:tbl>
    <w:p w:rsidR="00AD1BD6" w:rsidRDefault="00AD1BD6" w:rsidP="00AD1BD6">
      <w:pPr>
        <w:rPr>
          <w:i/>
          <w:sz w:val="24"/>
          <w:szCs w:val="24"/>
        </w:rPr>
      </w:pPr>
    </w:p>
    <w:p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</w:t>
      </w:r>
      <w:r w:rsidR="002B4D19">
        <w:rPr>
          <w:b/>
          <w:sz w:val="24"/>
          <w:szCs w:val="24"/>
        </w:rPr>
        <w:t xml:space="preserve">DIENESTA tīmekļvietnē </w:t>
      </w:r>
      <w:hyperlink r:id="rId6" w:history="1">
        <w:r w:rsidR="002B4D19" w:rsidRPr="002B4D19">
          <w:rPr>
            <w:sz w:val="24"/>
            <w:szCs w:val="24"/>
            <w:u w:val="single"/>
          </w:rPr>
          <w:t>www.vmnvd.gov.lv</w:t>
        </w:r>
      </w:hyperlink>
    </w:p>
    <w:p w:rsidR="009673EF" w:rsidRPr="00AD1BD6" w:rsidRDefault="009673EF" w:rsidP="009673EF">
      <w:pPr>
        <w:ind w:left="720"/>
        <w:rPr>
          <w:b/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10317"/>
    <w:rsid w:val="00023E70"/>
    <w:rsid w:val="000D28FF"/>
    <w:rsid w:val="001226D5"/>
    <w:rsid w:val="00167489"/>
    <w:rsid w:val="001C0E7F"/>
    <w:rsid w:val="001C7EA1"/>
    <w:rsid w:val="001F5BFF"/>
    <w:rsid w:val="00207510"/>
    <w:rsid w:val="00236E09"/>
    <w:rsid w:val="002B4D19"/>
    <w:rsid w:val="003418AF"/>
    <w:rsid w:val="0035101E"/>
    <w:rsid w:val="003E3B67"/>
    <w:rsid w:val="003F5018"/>
    <w:rsid w:val="0041167A"/>
    <w:rsid w:val="0044588D"/>
    <w:rsid w:val="004B0A97"/>
    <w:rsid w:val="0052109E"/>
    <w:rsid w:val="0056099A"/>
    <w:rsid w:val="005A4C34"/>
    <w:rsid w:val="005D2F46"/>
    <w:rsid w:val="005D7254"/>
    <w:rsid w:val="006A763D"/>
    <w:rsid w:val="006B1DE9"/>
    <w:rsid w:val="006B6FFC"/>
    <w:rsid w:val="006D768A"/>
    <w:rsid w:val="00720787"/>
    <w:rsid w:val="00720B4C"/>
    <w:rsid w:val="00750C9F"/>
    <w:rsid w:val="00760DA9"/>
    <w:rsid w:val="007B6658"/>
    <w:rsid w:val="007E709A"/>
    <w:rsid w:val="00822EA6"/>
    <w:rsid w:val="00836499"/>
    <w:rsid w:val="00861730"/>
    <w:rsid w:val="00874BCC"/>
    <w:rsid w:val="0087734C"/>
    <w:rsid w:val="00885EDD"/>
    <w:rsid w:val="008C1BAB"/>
    <w:rsid w:val="00945C50"/>
    <w:rsid w:val="0096564E"/>
    <w:rsid w:val="009673EF"/>
    <w:rsid w:val="00972A5F"/>
    <w:rsid w:val="00A7046C"/>
    <w:rsid w:val="00AA6EFB"/>
    <w:rsid w:val="00AB3C3A"/>
    <w:rsid w:val="00AD0EA2"/>
    <w:rsid w:val="00AD1BD6"/>
    <w:rsid w:val="00B23A4E"/>
    <w:rsid w:val="00B52EAC"/>
    <w:rsid w:val="00C6684B"/>
    <w:rsid w:val="00CA5F8B"/>
    <w:rsid w:val="00D170BB"/>
    <w:rsid w:val="00D301B0"/>
    <w:rsid w:val="00D41801"/>
    <w:rsid w:val="00D81F0A"/>
    <w:rsid w:val="00DA738A"/>
    <w:rsid w:val="00F161EE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0092DD-2C78-4D70-8302-FE576B3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63B0-C854-4F00-AF66-CBE1471A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Gints Čanders</cp:lastModifiedBy>
  <cp:revision>3</cp:revision>
  <cp:lastPrinted>2012-09-04T14:28:00Z</cp:lastPrinted>
  <dcterms:created xsi:type="dcterms:W3CDTF">2019-02-15T07:41:00Z</dcterms:created>
  <dcterms:modified xsi:type="dcterms:W3CDTF">2019-02-22T09:29:00Z</dcterms:modified>
</cp:coreProperties>
</file>