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694F" w14:textId="77777777" w:rsidR="005B51FB" w:rsidRPr="00B27E54" w:rsidRDefault="005B51FB" w:rsidP="005B51FB">
      <w:pPr>
        <w:jc w:val="right"/>
        <w:rPr>
          <w:rFonts w:ascii="Times New Roman" w:hAnsi="Times New Roman"/>
          <w:b/>
          <w:sz w:val="24"/>
          <w:szCs w:val="24"/>
        </w:rPr>
      </w:pPr>
      <w:r w:rsidRPr="00B27E54">
        <w:rPr>
          <w:rFonts w:ascii="Times New Roman" w:hAnsi="Times New Roman"/>
          <w:b/>
          <w:sz w:val="24"/>
          <w:szCs w:val="24"/>
        </w:rPr>
        <w:t xml:space="preserve">VSIA “Paula Stradiņa klīniskā </w:t>
      </w:r>
    </w:p>
    <w:p w14:paraId="7C83DAA1" w14:textId="77777777" w:rsidR="005B51FB" w:rsidRPr="00B27E54" w:rsidRDefault="005B51FB" w:rsidP="005B51FB">
      <w:pPr>
        <w:jc w:val="right"/>
        <w:rPr>
          <w:rFonts w:ascii="Times New Roman" w:hAnsi="Times New Roman"/>
          <w:b/>
          <w:sz w:val="24"/>
          <w:szCs w:val="24"/>
        </w:rPr>
      </w:pPr>
      <w:r w:rsidRPr="00B27E54">
        <w:rPr>
          <w:rFonts w:ascii="Times New Roman" w:hAnsi="Times New Roman"/>
          <w:b/>
          <w:sz w:val="24"/>
          <w:szCs w:val="24"/>
        </w:rPr>
        <w:t xml:space="preserve">universitātes slimnīca” </w:t>
      </w:r>
    </w:p>
    <w:p w14:paraId="69675802" w14:textId="77777777" w:rsidR="005B51FB" w:rsidRPr="00B27E54" w:rsidRDefault="005B51FB" w:rsidP="005B51F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A838F1" w14:textId="77777777" w:rsidR="005B51FB" w:rsidRPr="00907224" w:rsidRDefault="005B51FB" w:rsidP="005B51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7224">
        <w:rPr>
          <w:rFonts w:ascii="Times New Roman" w:hAnsi="Times New Roman"/>
          <w:b/>
          <w:sz w:val="24"/>
          <w:szCs w:val="24"/>
        </w:rPr>
        <w:t>Ronapreve</w:t>
      </w:r>
      <w:proofErr w:type="spellEnd"/>
      <w:r w:rsidRPr="00907224">
        <w:rPr>
          <w:rFonts w:ascii="Times New Roman" w:hAnsi="Times New Roman"/>
          <w:b/>
          <w:sz w:val="24"/>
          <w:szCs w:val="24"/>
        </w:rPr>
        <w:t xml:space="preserve"> REGN-COV2 (</w:t>
      </w:r>
      <w:proofErr w:type="spellStart"/>
      <w:r w:rsidRPr="00907224">
        <w:rPr>
          <w:rFonts w:ascii="Times New Roman" w:hAnsi="Times New Roman"/>
          <w:b/>
          <w:sz w:val="24"/>
          <w:szCs w:val="24"/>
        </w:rPr>
        <w:t>Casirivimab</w:t>
      </w:r>
      <w:proofErr w:type="spellEnd"/>
      <w:r w:rsidRPr="0090722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07224">
        <w:rPr>
          <w:rFonts w:ascii="Times New Roman" w:hAnsi="Times New Roman"/>
          <w:b/>
          <w:sz w:val="24"/>
          <w:szCs w:val="24"/>
        </w:rPr>
        <w:t>Imdevimab</w:t>
      </w:r>
      <w:proofErr w:type="spellEnd"/>
      <w:r w:rsidRPr="0090722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5866333C" w14:textId="77777777" w:rsidR="005B51FB" w:rsidRPr="00907224" w:rsidRDefault="005B51FB" w:rsidP="005B51FB">
      <w:pPr>
        <w:jc w:val="both"/>
        <w:rPr>
          <w:rFonts w:ascii="Times New Roman" w:hAnsi="Times New Roman"/>
          <w:sz w:val="24"/>
          <w:szCs w:val="24"/>
        </w:rPr>
      </w:pPr>
    </w:p>
    <w:p w14:paraId="031C59AB" w14:textId="495EE1DE" w:rsidR="00435727" w:rsidRPr="00907224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7224">
        <w:rPr>
          <w:rFonts w:ascii="Times New Roman" w:hAnsi="Times New Roman"/>
          <w:sz w:val="24"/>
          <w:szCs w:val="24"/>
        </w:rPr>
        <w:t xml:space="preserve">Medikamentu REGN-COV2 (turpmāk tekstā – Medikaments) ordinē </w:t>
      </w:r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kā krīzes terapiju </w:t>
      </w:r>
      <w:proofErr w:type="spellStart"/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stacionētiem</w:t>
      </w:r>
      <w:proofErr w:type="spellEnd"/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nevakcinētiem, </w:t>
      </w:r>
      <w:proofErr w:type="spellStart"/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prognostiski</w:t>
      </w:r>
      <w:proofErr w:type="spellEnd"/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smagas klīniskās gaitas augsta riska pacientiem ar </w:t>
      </w:r>
      <w:r w:rsidR="00DD5EE3"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90722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stadijā, </w:t>
      </w:r>
      <w:r w:rsidRPr="00907224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PSKUS </w:t>
      </w:r>
      <w:r w:rsidR="0076537E" w:rsidRPr="00907224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907224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90722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90722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907224">
        <w:rPr>
          <w:rFonts w:ascii="Times New Roman" w:hAnsi="Times New Roman"/>
          <w:sz w:val="24"/>
          <w:szCs w:val="24"/>
          <w:u w:val="single"/>
        </w:rPr>
        <w:t>katīt 1. pielikumu)</w:t>
      </w:r>
      <w:r w:rsidR="0076537E" w:rsidRPr="00907224">
        <w:rPr>
          <w:rFonts w:ascii="Times New Roman" w:hAnsi="Times New Roman"/>
          <w:sz w:val="24"/>
          <w:szCs w:val="24"/>
          <w:u w:val="single"/>
        </w:rPr>
        <w:t xml:space="preserve"> un  Medikamenta ievadīšanas rekomendācijas (skatīt 2. pielikumā).</w:t>
      </w:r>
    </w:p>
    <w:p w14:paraId="70CD6B70" w14:textId="77777777" w:rsidR="00435727" w:rsidRPr="00B27E5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7224">
        <w:rPr>
          <w:rFonts w:ascii="Times New Roman" w:hAnsi="Times New Roman"/>
          <w:sz w:val="24"/>
          <w:szCs w:val="24"/>
        </w:rPr>
        <w:t>Medikamenta</w:t>
      </w:r>
      <w:r w:rsidR="00B63272" w:rsidRPr="00907224">
        <w:rPr>
          <w:rFonts w:ascii="Times New Roman" w:hAnsi="Times New Roman"/>
          <w:sz w:val="24"/>
          <w:szCs w:val="24"/>
        </w:rPr>
        <w:t xml:space="preserve"> </w:t>
      </w:r>
      <w:r w:rsidRPr="0090722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0772AC" w:rsidRPr="00907224">
        <w:rPr>
          <w:rFonts w:ascii="Times New Roman" w:hAnsi="Times New Roman"/>
          <w:sz w:val="24"/>
          <w:szCs w:val="24"/>
        </w:rPr>
        <w:t>V</w:t>
      </w:r>
      <w:r w:rsidRPr="00907224">
        <w:rPr>
          <w:rFonts w:ascii="Times New Roman" w:hAnsi="Times New Roman"/>
          <w:sz w:val="24"/>
          <w:szCs w:val="24"/>
        </w:rPr>
        <w:t>SIA “Paula Stradiņa klīniskā universitātes slimnīca” (turpmāk – PSKUS). PSKUS</w:t>
      </w:r>
      <w:r w:rsidRPr="00B27E54">
        <w:rPr>
          <w:rFonts w:ascii="Times New Roman" w:hAnsi="Times New Roman"/>
          <w:sz w:val="24"/>
          <w:szCs w:val="24"/>
        </w:rPr>
        <w:t xml:space="preserve"> nodrošina pareiz</w:t>
      </w:r>
      <w:r w:rsidR="000772AC" w:rsidRPr="00B27E54">
        <w:rPr>
          <w:rFonts w:ascii="Times New Roman" w:hAnsi="Times New Roman"/>
          <w:sz w:val="24"/>
          <w:szCs w:val="24"/>
        </w:rPr>
        <w:t>u</w:t>
      </w:r>
      <w:r w:rsidRPr="00B27E54">
        <w:rPr>
          <w:rFonts w:ascii="Times New Roman" w:hAnsi="Times New Roman"/>
          <w:sz w:val="24"/>
          <w:szCs w:val="24"/>
        </w:rPr>
        <w:t xml:space="preserve"> medikamenta uzglabāšanu atbilstoši ražotāja norādījumiem (+2 līdz +8 grādu temperatūrā).</w:t>
      </w:r>
    </w:p>
    <w:p w14:paraId="222DEECA" w14:textId="4BF70392" w:rsidR="00435727" w:rsidRPr="00B27E54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>Gadījumos, kad Medikaments ir indicēts pacientam kādā no klīniskās universitātes slimnīcām, ārstu kons</w:t>
      </w:r>
      <w:r w:rsidR="00445ACC" w:rsidRPr="00B27E54">
        <w:rPr>
          <w:rFonts w:ascii="Times New Roman" w:hAnsi="Times New Roman"/>
          <w:sz w:val="24"/>
          <w:szCs w:val="24"/>
        </w:rPr>
        <w:t>i</w:t>
      </w:r>
      <w:r w:rsidRPr="00B27E5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B27E54">
        <w:rPr>
          <w:rFonts w:ascii="Times New Roman" w:hAnsi="Times New Roman"/>
          <w:sz w:val="24"/>
          <w:szCs w:val="24"/>
        </w:rPr>
        <w:t>,</w:t>
      </w:r>
      <w:r w:rsidR="00DD5EE3" w:rsidRPr="00B27E54">
        <w:rPr>
          <w:rFonts w:ascii="Times New Roman" w:hAnsi="Times New Roman"/>
          <w:sz w:val="24"/>
          <w:szCs w:val="24"/>
        </w:rPr>
        <w:t xml:space="preserve"> </w:t>
      </w:r>
      <w:r w:rsidR="00445ACC" w:rsidRPr="00B27E54">
        <w:rPr>
          <w:rFonts w:ascii="Times New Roman" w:hAnsi="Times New Roman"/>
          <w:sz w:val="24"/>
          <w:szCs w:val="24"/>
        </w:rPr>
        <w:t>p</w:t>
      </w:r>
      <w:r w:rsidR="00403A17" w:rsidRPr="00B27E5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B27E54">
        <w:rPr>
          <w:rFonts w:ascii="Times New Roman" w:hAnsi="Times New Roman"/>
          <w:sz w:val="24"/>
          <w:szCs w:val="24"/>
        </w:rPr>
        <w:t>to veido</w:t>
      </w:r>
      <w:r w:rsidR="00403A17" w:rsidRPr="00B27E54">
        <w:rPr>
          <w:rFonts w:ascii="Times New Roman" w:hAnsi="Times New Roman"/>
          <w:sz w:val="24"/>
          <w:szCs w:val="24"/>
        </w:rPr>
        <w:t xml:space="preserve"> sekojoši ārsti-speciālisti: pacienta ārstējošais ārsts, </w:t>
      </w:r>
      <w:proofErr w:type="spellStart"/>
      <w:r w:rsidR="00403A17" w:rsidRPr="00B27E54">
        <w:rPr>
          <w:rFonts w:ascii="Times New Roman" w:hAnsi="Times New Roman"/>
          <w:sz w:val="24"/>
          <w:szCs w:val="24"/>
        </w:rPr>
        <w:t>infektologs</w:t>
      </w:r>
      <w:proofErr w:type="spellEnd"/>
      <w:r w:rsidR="00403A17" w:rsidRPr="00B27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A17" w:rsidRPr="00B27E54">
        <w:rPr>
          <w:rFonts w:ascii="Times New Roman" w:hAnsi="Times New Roman"/>
          <w:sz w:val="24"/>
          <w:szCs w:val="24"/>
        </w:rPr>
        <w:t>pulmonologs</w:t>
      </w:r>
      <w:proofErr w:type="spellEnd"/>
      <w:r w:rsidR="00403A17" w:rsidRPr="00B27E54">
        <w:rPr>
          <w:rFonts w:ascii="Times New Roman" w:hAnsi="Times New Roman"/>
          <w:sz w:val="24"/>
          <w:szCs w:val="24"/>
        </w:rPr>
        <w:t xml:space="preserve"> vai intensīvās terapijas ārsts</w:t>
      </w:r>
      <w:r w:rsidR="00435727" w:rsidRPr="00B27E54">
        <w:rPr>
          <w:rFonts w:ascii="Times New Roman" w:hAnsi="Times New Roman"/>
          <w:sz w:val="24"/>
          <w:szCs w:val="24"/>
        </w:rPr>
        <w:t xml:space="preserve">. </w:t>
      </w:r>
    </w:p>
    <w:p w14:paraId="01154F15" w14:textId="66388AB3" w:rsidR="000772AC" w:rsidRPr="00B27E54" w:rsidRDefault="000772AC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Gadījumos, kad </w:t>
      </w:r>
      <w:r w:rsidR="00816327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edikaments ir nepieciešams pacientam cit</w:t>
      </w:r>
      <w:r w:rsidR="00445ACC" w:rsidRPr="00B27E54">
        <w:rPr>
          <w:rFonts w:ascii="Times New Roman" w:hAnsi="Times New Roman"/>
          <w:sz w:val="24"/>
          <w:szCs w:val="24"/>
        </w:rPr>
        <w:t>ā</w:t>
      </w:r>
      <w:r w:rsidRPr="00B27E54">
        <w:rPr>
          <w:rFonts w:ascii="Times New Roman" w:hAnsi="Times New Roman"/>
          <w:sz w:val="24"/>
          <w:szCs w:val="24"/>
        </w:rPr>
        <w:t xml:space="preserve">s </w:t>
      </w:r>
      <w:r w:rsidR="00C855EE" w:rsidRPr="00B27E54">
        <w:rPr>
          <w:rFonts w:ascii="Times New Roman" w:hAnsi="Times New Roman"/>
          <w:sz w:val="24"/>
          <w:szCs w:val="24"/>
        </w:rPr>
        <w:t>ārstniecības iestādēs</w:t>
      </w:r>
      <w:r w:rsidRPr="00B27E54">
        <w:rPr>
          <w:rFonts w:ascii="Times New Roman" w:hAnsi="Times New Roman"/>
          <w:sz w:val="24"/>
          <w:szCs w:val="24"/>
        </w:rPr>
        <w:t xml:space="preserve">: </w:t>
      </w:r>
    </w:p>
    <w:p w14:paraId="298784EA" w14:textId="1540C9F6" w:rsidR="000772AC" w:rsidRPr="00B27E5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>Ārstējošais ārsts informē par pacientu, kuram, iespējams, indicēta</w:t>
      </w:r>
      <w:r w:rsidRPr="00B27E54">
        <w:rPr>
          <w:rFonts w:ascii="Times New Roman" w:hAnsi="Times New Roman"/>
          <w:i/>
          <w:sz w:val="24"/>
          <w:szCs w:val="24"/>
        </w:rPr>
        <w:t xml:space="preserve"> </w:t>
      </w:r>
      <w:r w:rsidR="00816327" w:rsidRPr="00B27E54">
        <w:rPr>
          <w:rFonts w:ascii="Times New Roman" w:hAnsi="Times New Roman"/>
          <w:i/>
          <w:sz w:val="24"/>
          <w:szCs w:val="24"/>
        </w:rPr>
        <w:t xml:space="preserve"> </w:t>
      </w:r>
      <w:r w:rsidR="00816327" w:rsidRPr="00B27E54">
        <w:rPr>
          <w:rFonts w:ascii="Times New Roman" w:hAnsi="Times New Roman"/>
          <w:b/>
          <w:sz w:val="24"/>
          <w:szCs w:val="24"/>
        </w:rPr>
        <w:t>REGN-COV2</w:t>
      </w:r>
      <w:r w:rsidRPr="00B27E54">
        <w:rPr>
          <w:rFonts w:ascii="Times New Roman" w:hAnsi="Times New Roman"/>
          <w:sz w:val="24"/>
          <w:szCs w:val="24"/>
        </w:rPr>
        <w:t xml:space="preserve"> terapija</w:t>
      </w:r>
      <w:r w:rsidR="00DD5EE3" w:rsidRPr="00B27E54">
        <w:rPr>
          <w:rFonts w:ascii="Times New Roman" w:hAnsi="Times New Roman"/>
          <w:sz w:val="24"/>
          <w:szCs w:val="24"/>
        </w:rPr>
        <w:t xml:space="preserve">, </w:t>
      </w:r>
      <w:r w:rsidRPr="00B27E54">
        <w:rPr>
          <w:rFonts w:ascii="Times New Roman" w:hAnsi="Times New Roman"/>
          <w:sz w:val="24"/>
          <w:szCs w:val="24"/>
        </w:rPr>
        <w:t>Neatliekamās medicīniskās palīdzības dienesta Specializētās medicīnas centru (turpmāk – SMC);</w:t>
      </w:r>
    </w:p>
    <w:p w14:paraId="350E4E1D" w14:textId="0BFEAACC" w:rsidR="00403A17" w:rsidRPr="00B27E5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Ja SMC dežurējošā </w:t>
      </w:r>
      <w:proofErr w:type="spellStart"/>
      <w:r w:rsidRPr="00B27E54">
        <w:rPr>
          <w:rFonts w:ascii="Times New Roman" w:hAnsi="Times New Roman"/>
          <w:sz w:val="24"/>
          <w:szCs w:val="24"/>
        </w:rPr>
        <w:t>infektologa</w:t>
      </w:r>
      <w:proofErr w:type="spellEnd"/>
      <w:r w:rsidRPr="00B27E54">
        <w:rPr>
          <w:rFonts w:ascii="Times New Roman" w:hAnsi="Times New Roman"/>
          <w:sz w:val="24"/>
          <w:szCs w:val="24"/>
        </w:rPr>
        <w:t xml:space="preserve"> konsultācijas laikā  tiek noteiktas indikācijas </w:t>
      </w:r>
      <w:r w:rsidR="00DD5EE3" w:rsidRPr="00B27E54">
        <w:rPr>
          <w:rFonts w:ascii="Times New Roman" w:hAnsi="Times New Roman"/>
          <w:sz w:val="24"/>
          <w:szCs w:val="24"/>
        </w:rPr>
        <w:t xml:space="preserve">              </w:t>
      </w:r>
      <w:r w:rsidR="00816327" w:rsidRPr="00B27E54">
        <w:rPr>
          <w:rFonts w:ascii="Times New Roman" w:hAnsi="Times New Roman"/>
          <w:b/>
          <w:sz w:val="24"/>
          <w:szCs w:val="24"/>
        </w:rPr>
        <w:t>REGN-COV2</w:t>
      </w:r>
      <w:r w:rsidRPr="00B27E54">
        <w:rPr>
          <w:rFonts w:ascii="Times New Roman" w:hAnsi="Times New Roman"/>
          <w:sz w:val="24"/>
          <w:szCs w:val="24"/>
        </w:rPr>
        <w:t xml:space="preserve"> terapijai, </w:t>
      </w:r>
      <w:r w:rsidR="00445ACC" w:rsidRPr="00B27E54">
        <w:rPr>
          <w:rFonts w:ascii="Times New Roman" w:hAnsi="Times New Roman"/>
          <w:sz w:val="24"/>
          <w:szCs w:val="24"/>
        </w:rPr>
        <w:t xml:space="preserve">SMC </w:t>
      </w:r>
      <w:r w:rsidRPr="00B27E54">
        <w:rPr>
          <w:rFonts w:ascii="Times New Roman" w:hAnsi="Times New Roman"/>
          <w:sz w:val="24"/>
          <w:szCs w:val="24"/>
        </w:rPr>
        <w:t>organizē attālināto konsiliju, kurā piedalās pacienta ārstējošais ārsts un vismaz 2 SMC speci</w:t>
      </w:r>
      <w:r w:rsidR="00DD5EE3" w:rsidRPr="00B27E54">
        <w:rPr>
          <w:rFonts w:ascii="Times New Roman" w:hAnsi="Times New Roman"/>
          <w:sz w:val="24"/>
          <w:szCs w:val="24"/>
        </w:rPr>
        <w:t>ā</w:t>
      </w:r>
      <w:r w:rsidRPr="00B27E54">
        <w:rPr>
          <w:rFonts w:ascii="Times New Roman" w:hAnsi="Times New Roman"/>
          <w:sz w:val="24"/>
          <w:szCs w:val="24"/>
        </w:rPr>
        <w:t>listi. SMC nodrošina konsilija audioierakstu, bet ārstējošais ārsts – atbilstošu ierakstu pacienta medicīniskajā dokumentācijā;</w:t>
      </w:r>
    </w:p>
    <w:p w14:paraId="78FC6650" w14:textId="6484699A" w:rsidR="00403A17" w:rsidRPr="00B27E5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Pēc SMC konsilija lēmuma nozīmēto </w:t>
      </w:r>
      <w:r w:rsidR="00445ACC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 xml:space="preserve">edikamenta devu izsniedz </w:t>
      </w:r>
      <w:r w:rsidR="00AE0B79" w:rsidRPr="00B27E54">
        <w:rPr>
          <w:rFonts w:ascii="Times New Roman" w:hAnsi="Times New Roman"/>
          <w:sz w:val="24"/>
          <w:szCs w:val="24"/>
        </w:rPr>
        <w:t>PSKUS aptieka</w:t>
      </w:r>
      <w:r w:rsidRPr="00B27E54">
        <w:rPr>
          <w:rFonts w:ascii="Times New Roman" w:hAnsi="Times New Roman"/>
          <w:sz w:val="24"/>
          <w:szCs w:val="24"/>
        </w:rPr>
        <w:t xml:space="preserve">; </w:t>
      </w:r>
    </w:p>
    <w:p w14:paraId="0170C590" w14:textId="5A4211AC" w:rsidR="00AE0B79" w:rsidRPr="00B27E54" w:rsidRDefault="000772AC" w:rsidP="00435727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SMC dispečers </w:t>
      </w:r>
      <w:r w:rsidR="00445ACC" w:rsidRPr="00B27E54">
        <w:rPr>
          <w:rFonts w:ascii="Times New Roman" w:hAnsi="Times New Roman"/>
          <w:sz w:val="24"/>
          <w:szCs w:val="24"/>
        </w:rPr>
        <w:t xml:space="preserve">e-pasta formātā </w:t>
      </w:r>
      <w:r w:rsidRPr="00B27E54">
        <w:rPr>
          <w:rFonts w:ascii="Times New Roman" w:hAnsi="Times New Roman"/>
          <w:sz w:val="24"/>
          <w:szCs w:val="24"/>
        </w:rPr>
        <w:t xml:space="preserve">informē par konsilija lēmumu </w:t>
      </w:r>
      <w:r w:rsidR="00816327" w:rsidRPr="00B27E54">
        <w:rPr>
          <w:rFonts w:ascii="Times New Roman" w:hAnsi="Times New Roman"/>
          <w:sz w:val="24"/>
          <w:szCs w:val="24"/>
        </w:rPr>
        <w:t xml:space="preserve">PSKUS </w:t>
      </w:r>
      <w:r w:rsidR="00AE0B79" w:rsidRPr="00B27E54">
        <w:rPr>
          <w:rFonts w:ascii="Times New Roman" w:hAnsi="Times New Roman"/>
          <w:sz w:val="24"/>
          <w:szCs w:val="24"/>
        </w:rPr>
        <w:t>aptiekas pārstāvjus:</w:t>
      </w:r>
    </w:p>
    <w:p w14:paraId="337EC349" w14:textId="02ABB962" w:rsidR="00AE0B79" w:rsidRPr="00B27E54" w:rsidRDefault="00AE0B79" w:rsidP="00435727">
      <w:pPr>
        <w:pStyle w:val="ListParagraph"/>
        <w:numPr>
          <w:ilvl w:val="2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Pr="00B27E54">
        <w:rPr>
          <w:rFonts w:ascii="Times New Roman" w:hAnsi="Times New Roman"/>
          <w:b/>
          <w:bCs/>
          <w:sz w:val="24"/>
          <w:szCs w:val="24"/>
          <w:u w:val="single"/>
        </w:rPr>
        <w:t>darba laikā</w:t>
      </w:r>
      <w:r w:rsidRPr="00B27E54">
        <w:rPr>
          <w:rFonts w:ascii="Times New Roman" w:hAnsi="Times New Roman"/>
          <w:sz w:val="24"/>
          <w:szCs w:val="24"/>
          <w:u w:val="single"/>
        </w:rPr>
        <w:t xml:space="preserve"> (darba dienās no 8.00 līdz 16.00</w:t>
      </w:r>
      <w:r w:rsidRPr="00B27E54">
        <w:rPr>
          <w:rFonts w:ascii="Times New Roman" w:hAnsi="Times New Roman"/>
          <w:sz w:val="24"/>
          <w:szCs w:val="24"/>
        </w:rPr>
        <w:t xml:space="preserve">) aptiekas vadītāju </w:t>
      </w:r>
      <w:proofErr w:type="spellStart"/>
      <w:r w:rsidRPr="00B27E54">
        <w:rPr>
          <w:rFonts w:ascii="Times New Roman" w:hAnsi="Times New Roman"/>
          <w:sz w:val="24"/>
          <w:szCs w:val="24"/>
        </w:rPr>
        <w:t>A.Kanapuhinu</w:t>
      </w:r>
      <w:proofErr w:type="spellEnd"/>
      <w:r w:rsidRPr="00B27E54">
        <w:rPr>
          <w:rFonts w:ascii="Times New Roman" w:hAnsi="Times New Roman"/>
          <w:sz w:val="24"/>
          <w:szCs w:val="24"/>
        </w:rPr>
        <w:t xml:space="preserve"> (andrejs.kanapuhins@stradini.lv)</w:t>
      </w:r>
      <w:r w:rsidR="00445ACC" w:rsidRPr="00B27E54">
        <w:rPr>
          <w:rFonts w:ascii="Times New Roman" w:hAnsi="Times New Roman"/>
          <w:sz w:val="24"/>
          <w:szCs w:val="24"/>
        </w:rPr>
        <w:t>,</w:t>
      </w:r>
      <w:r w:rsidRPr="00B27E54">
        <w:rPr>
          <w:rFonts w:ascii="Times New Roman" w:hAnsi="Times New Roman"/>
          <w:sz w:val="24"/>
          <w:szCs w:val="24"/>
        </w:rPr>
        <w:t xml:space="preserve"> </w:t>
      </w:r>
      <w:r w:rsidR="00445ACC" w:rsidRPr="00B27E54">
        <w:rPr>
          <w:rFonts w:ascii="Times New Roman" w:hAnsi="Times New Roman"/>
          <w:sz w:val="24"/>
          <w:szCs w:val="24"/>
        </w:rPr>
        <w:t xml:space="preserve">kā e-pasta adresātu </w:t>
      </w:r>
      <w:r w:rsidRPr="00B27E54">
        <w:rPr>
          <w:rFonts w:ascii="Times New Roman" w:hAnsi="Times New Roman"/>
          <w:sz w:val="24"/>
          <w:szCs w:val="24"/>
        </w:rPr>
        <w:t xml:space="preserve">pievienojot (cc) aptiekas vadītāja vietnieku </w:t>
      </w:r>
      <w:proofErr w:type="spellStart"/>
      <w:r w:rsidRPr="00B27E54">
        <w:rPr>
          <w:rFonts w:ascii="Times New Roman" w:hAnsi="Times New Roman"/>
          <w:sz w:val="24"/>
          <w:szCs w:val="24"/>
        </w:rPr>
        <w:t>L.Lāži</w:t>
      </w:r>
      <w:proofErr w:type="spellEnd"/>
      <w:r w:rsidRPr="00B27E5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B27E54">
          <w:rPr>
            <w:rStyle w:val="Hyperlink"/>
            <w:rFonts w:ascii="Times New Roman" w:hAnsi="Times New Roman"/>
            <w:color w:val="auto"/>
            <w:sz w:val="24"/>
            <w:szCs w:val="24"/>
          </w:rPr>
          <w:t>lina.laze@stradini.lv</w:t>
        </w:r>
      </w:hyperlink>
      <w:r w:rsidRPr="00B27E54">
        <w:rPr>
          <w:rFonts w:ascii="Times New Roman" w:hAnsi="Times New Roman"/>
          <w:sz w:val="24"/>
          <w:szCs w:val="24"/>
        </w:rPr>
        <w:t>), papildus saziņai tālr. 29527905</w:t>
      </w:r>
      <w:r w:rsidR="00445ACC" w:rsidRPr="00B27E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5ACC" w:rsidRPr="00B27E54">
        <w:rPr>
          <w:rFonts w:ascii="Times New Roman" w:hAnsi="Times New Roman"/>
          <w:sz w:val="24"/>
          <w:szCs w:val="24"/>
        </w:rPr>
        <w:t>A.Kanapuhins</w:t>
      </w:r>
      <w:proofErr w:type="spellEnd"/>
      <w:r w:rsidR="00445ACC" w:rsidRPr="00B27E54">
        <w:rPr>
          <w:rFonts w:ascii="Times New Roman" w:hAnsi="Times New Roman"/>
          <w:sz w:val="24"/>
          <w:szCs w:val="24"/>
        </w:rPr>
        <w:t>)</w:t>
      </w:r>
      <w:r w:rsidRPr="00B27E54">
        <w:rPr>
          <w:rFonts w:ascii="Times New Roman" w:hAnsi="Times New Roman"/>
          <w:sz w:val="24"/>
          <w:szCs w:val="24"/>
        </w:rPr>
        <w:t>;</w:t>
      </w:r>
    </w:p>
    <w:p w14:paraId="5F85F4D7" w14:textId="7BE1A590" w:rsidR="00AE0B79" w:rsidRPr="00B27E54" w:rsidRDefault="00AE0B79" w:rsidP="00435727">
      <w:pPr>
        <w:pStyle w:val="ListParagraph"/>
        <w:numPr>
          <w:ilvl w:val="2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b/>
          <w:bCs/>
          <w:sz w:val="24"/>
          <w:szCs w:val="24"/>
          <w:u w:val="single"/>
        </w:rPr>
        <w:t>Ārpus</w:t>
      </w:r>
      <w:r w:rsidRPr="00B27E54">
        <w:rPr>
          <w:rFonts w:ascii="Times New Roman" w:hAnsi="Times New Roman"/>
          <w:sz w:val="24"/>
          <w:szCs w:val="24"/>
          <w:u w:val="single"/>
        </w:rPr>
        <w:t xml:space="preserve"> PSKUS aptiekas </w:t>
      </w:r>
      <w:r w:rsidRPr="00B27E54">
        <w:rPr>
          <w:rFonts w:ascii="Times New Roman" w:hAnsi="Times New Roman"/>
          <w:b/>
          <w:bCs/>
          <w:sz w:val="24"/>
          <w:szCs w:val="24"/>
          <w:u w:val="single"/>
        </w:rPr>
        <w:t>darba laika</w:t>
      </w:r>
      <w:r w:rsidRPr="00B27E54">
        <w:rPr>
          <w:rFonts w:ascii="Times New Roman" w:hAnsi="Times New Roman"/>
          <w:sz w:val="24"/>
          <w:szCs w:val="24"/>
        </w:rPr>
        <w:t xml:space="preserve"> – PSKUS </w:t>
      </w:r>
      <w:proofErr w:type="spellStart"/>
      <w:r w:rsidR="00445ACC" w:rsidRPr="00B27E54">
        <w:rPr>
          <w:rFonts w:ascii="Times New Roman" w:hAnsi="Times New Roman"/>
          <w:sz w:val="24"/>
          <w:szCs w:val="24"/>
        </w:rPr>
        <w:t>Neatliekāmā</w:t>
      </w:r>
      <w:proofErr w:type="spellEnd"/>
      <w:r w:rsidR="00445ACC" w:rsidRPr="00B27E54">
        <w:rPr>
          <w:rFonts w:ascii="Times New Roman" w:hAnsi="Times New Roman"/>
          <w:sz w:val="24"/>
          <w:szCs w:val="24"/>
        </w:rPr>
        <w:t xml:space="preserve"> medicīnas centra (turpmāk – </w:t>
      </w:r>
      <w:r w:rsidRPr="00B27E54">
        <w:rPr>
          <w:rFonts w:ascii="Times New Roman" w:hAnsi="Times New Roman"/>
          <w:sz w:val="24"/>
          <w:szCs w:val="24"/>
        </w:rPr>
        <w:t>NMC</w:t>
      </w:r>
      <w:r w:rsidR="00445ACC" w:rsidRPr="00B27E54">
        <w:rPr>
          <w:rFonts w:ascii="Times New Roman" w:hAnsi="Times New Roman"/>
          <w:sz w:val="24"/>
          <w:szCs w:val="24"/>
        </w:rPr>
        <w:t>)</w:t>
      </w:r>
      <w:r w:rsidRPr="00B27E54">
        <w:rPr>
          <w:rFonts w:ascii="Times New Roman" w:hAnsi="Times New Roman"/>
          <w:sz w:val="24"/>
          <w:szCs w:val="24"/>
        </w:rPr>
        <w:t xml:space="preserve"> atbildīgo personu  - NMC atbildīgo māsu (mob. 26541220) vai NMC atbildīgo ārstu (tālr. 6709240)-</w:t>
      </w:r>
    </w:p>
    <w:p w14:paraId="2D41DABC" w14:textId="4ABA1044" w:rsidR="00B63272" w:rsidRPr="00876ACA" w:rsidRDefault="000772AC" w:rsidP="00876ACA">
      <w:pPr>
        <w:pStyle w:val="ListParagraph"/>
        <w:suppressAutoHyphens w:val="0"/>
        <w:autoSpaceDN/>
        <w:spacing w:after="160" w:line="259" w:lineRule="auto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lastRenderedPageBreak/>
        <w:t xml:space="preserve">nosaucot pacienta vārdu, uzvārdu un </w:t>
      </w:r>
      <w:r w:rsidR="00AE0B79" w:rsidRPr="00B27E54">
        <w:rPr>
          <w:rFonts w:ascii="Times New Roman" w:hAnsi="Times New Roman"/>
          <w:sz w:val="24"/>
          <w:szCs w:val="24"/>
        </w:rPr>
        <w:t>pacienta Identifikācijas Nr. (PK_ID)</w:t>
      </w:r>
      <w:r w:rsidRPr="00B27E54">
        <w:rPr>
          <w:rFonts w:ascii="Times New Roman" w:hAnsi="Times New Roman"/>
          <w:sz w:val="24"/>
          <w:szCs w:val="24"/>
        </w:rPr>
        <w:t xml:space="preserve">, ārstniecības iestādi, kā arī nepieciešamo </w:t>
      </w:r>
      <w:r w:rsidR="00445ACC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edikamenta devu ( oriģinālu) skaitu</w:t>
      </w:r>
      <w:r w:rsidR="00445ACC" w:rsidRPr="00B27E54">
        <w:rPr>
          <w:rFonts w:ascii="Times New Roman" w:hAnsi="Times New Roman"/>
          <w:sz w:val="24"/>
          <w:szCs w:val="24"/>
        </w:rPr>
        <w:t xml:space="preserve"> un daudzumu mililitros</w:t>
      </w:r>
      <w:r w:rsidR="00876ACA">
        <w:rPr>
          <w:rFonts w:ascii="Times New Roman" w:hAnsi="Times New Roman"/>
          <w:sz w:val="24"/>
          <w:szCs w:val="24"/>
        </w:rPr>
        <w:t>.</w:t>
      </w:r>
      <w:r w:rsidR="00B63272" w:rsidRPr="00876ACA">
        <w:rPr>
          <w:rFonts w:ascii="Times New Roman" w:hAnsi="Times New Roman"/>
          <w:sz w:val="24"/>
          <w:szCs w:val="24"/>
        </w:rPr>
        <w:tab/>
      </w:r>
      <w:r w:rsidR="00B63272" w:rsidRPr="00876ACA">
        <w:rPr>
          <w:rFonts w:ascii="Times New Roman" w:hAnsi="Times New Roman"/>
          <w:sz w:val="24"/>
          <w:szCs w:val="24"/>
        </w:rPr>
        <w:tab/>
      </w:r>
    </w:p>
    <w:p w14:paraId="61E32B06" w14:textId="3D1A2387" w:rsidR="005B51FB" w:rsidRPr="00B27E5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Gadījumos, kad </w:t>
      </w:r>
      <w:r w:rsidR="00445ACC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 xml:space="preserve">edikaments tiek izsniegts no PSKUS aptiekas, kurjers (pilnvarota persona) </w:t>
      </w:r>
      <w:r w:rsidR="00445ACC" w:rsidRPr="00B27E54">
        <w:rPr>
          <w:rFonts w:ascii="Times New Roman" w:hAnsi="Times New Roman"/>
          <w:sz w:val="24"/>
          <w:szCs w:val="24"/>
        </w:rPr>
        <w:t xml:space="preserve">tā </w:t>
      </w:r>
      <w:r w:rsidRPr="00B27E54">
        <w:rPr>
          <w:rFonts w:ascii="Times New Roman" w:hAnsi="Times New Roman"/>
          <w:sz w:val="24"/>
          <w:szCs w:val="24"/>
        </w:rPr>
        <w:t>saņem</w:t>
      </w:r>
      <w:r w:rsidR="00445ACC" w:rsidRPr="00B27E54">
        <w:rPr>
          <w:rFonts w:ascii="Times New Roman" w:hAnsi="Times New Roman"/>
          <w:sz w:val="24"/>
          <w:szCs w:val="24"/>
        </w:rPr>
        <w:t>šanas brīdī</w:t>
      </w:r>
      <w:r w:rsidRPr="00B27E54">
        <w:rPr>
          <w:rFonts w:ascii="Times New Roman" w:hAnsi="Times New Roman"/>
          <w:sz w:val="24"/>
          <w:szCs w:val="24"/>
        </w:rPr>
        <w:t>, apliecina saņemšan</w:t>
      </w:r>
      <w:r w:rsidR="00445ACC" w:rsidRPr="00B27E54">
        <w:rPr>
          <w:rFonts w:ascii="Times New Roman" w:hAnsi="Times New Roman"/>
          <w:sz w:val="24"/>
          <w:szCs w:val="24"/>
        </w:rPr>
        <w:t>as faktu,</w:t>
      </w:r>
      <w:r w:rsidRPr="00B27E54">
        <w:rPr>
          <w:rFonts w:ascii="Times New Roman" w:hAnsi="Times New Roman"/>
          <w:sz w:val="24"/>
          <w:szCs w:val="24"/>
        </w:rPr>
        <w:t xml:space="preserve"> parakstot preču pavadzīmi.</w:t>
      </w:r>
    </w:p>
    <w:p w14:paraId="62F67F03" w14:textId="70F36C33" w:rsidR="005B51FB" w:rsidRPr="00B27E5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Gadījumos, kad </w:t>
      </w:r>
      <w:r w:rsidR="00445ACC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edikaments tiek izsniegts no PSKUS NMC, NMC atbildīg</w:t>
      </w:r>
      <w:r w:rsidR="00445ACC" w:rsidRPr="00B27E54">
        <w:rPr>
          <w:rFonts w:ascii="Times New Roman" w:hAnsi="Times New Roman"/>
          <w:sz w:val="24"/>
          <w:szCs w:val="24"/>
        </w:rPr>
        <w:t>ā</w:t>
      </w:r>
      <w:r w:rsidRPr="00B27E54">
        <w:rPr>
          <w:rFonts w:ascii="Times New Roman" w:hAnsi="Times New Roman"/>
          <w:sz w:val="24"/>
          <w:szCs w:val="24"/>
        </w:rPr>
        <w:t xml:space="preserve"> persona aizpilda </w:t>
      </w:r>
      <w:r w:rsidR="0039103C" w:rsidRPr="00B27E54">
        <w:rPr>
          <w:rFonts w:ascii="Times New Roman" w:hAnsi="Times New Roman"/>
          <w:sz w:val="24"/>
          <w:szCs w:val="24"/>
        </w:rPr>
        <w:t>pieņemšanas-</w:t>
      </w:r>
      <w:r w:rsidR="0039103C" w:rsidRPr="00907224">
        <w:rPr>
          <w:rFonts w:ascii="Times New Roman" w:hAnsi="Times New Roman"/>
          <w:sz w:val="24"/>
          <w:szCs w:val="24"/>
        </w:rPr>
        <w:t xml:space="preserve">nodošanas aktu, </w:t>
      </w:r>
      <w:r w:rsidRPr="00907224">
        <w:rPr>
          <w:rFonts w:ascii="Times New Roman" w:hAnsi="Times New Roman"/>
          <w:sz w:val="24"/>
          <w:szCs w:val="24"/>
        </w:rPr>
        <w:t>norādot</w:t>
      </w:r>
      <w:r w:rsidR="00876ACA" w:rsidRPr="00907224">
        <w:rPr>
          <w:rFonts w:ascii="Times New Roman" w:hAnsi="Times New Roman"/>
          <w:sz w:val="24"/>
          <w:szCs w:val="24"/>
        </w:rPr>
        <w:t xml:space="preserve"> izsniegto </w:t>
      </w:r>
      <w:r w:rsidRPr="00907224">
        <w:rPr>
          <w:rFonts w:ascii="Times New Roman" w:hAnsi="Times New Roman"/>
          <w:sz w:val="24"/>
          <w:szCs w:val="24"/>
        </w:rPr>
        <w:t xml:space="preserve"> zāļu daudzumu,</w:t>
      </w:r>
      <w:r w:rsidRPr="00B27E54">
        <w:rPr>
          <w:rFonts w:ascii="Times New Roman" w:hAnsi="Times New Roman"/>
          <w:sz w:val="24"/>
          <w:szCs w:val="24"/>
        </w:rPr>
        <w:t xml:space="preserve"> slimnīcas nosaukumu, pacienta identifikācijas numuru</w:t>
      </w:r>
      <w:r w:rsidR="00603BE5" w:rsidRPr="00B27E54">
        <w:rPr>
          <w:rFonts w:ascii="Times New Roman" w:hAnsi="Times New Roman"/>
          <w:sz w:val="24"/>
          <w:szCs w:val="24"/>
        </w:rPr>
        <w:t xml:space="preserve"> (PK_ID)</w:t>
      </w:r>
      <w:r w:rsidRPr="00B27E54">
        <w:rPr>
          <w:rFonts w:ascii="Times New Roman" w:hAnsi="Times New Roman"/>
          <w:sz w:val="24"/>
          <w:szCs w:val="24"/>
        </w:rPr>
        <w:t>. P</w:t>
      </w:r>
      <w:r w:rsidR="00603BE5" w:rsidRPr="00B27E54">
        <w:rPr>
          <w:rFonts w:ascii="Times New Roman" w:hAnsi="Times New Roman"/>
          <w:sz w:val="24"/>
          <w:szCs w:val="24"/>
        </w:rPr>
        <w:t>ieņemšanas-nodošanas aktu</w:t>
      </w:r>
      <w:r w:rsidRPr="00B27E54">
        <w:rPr>
          <w:rFonts w:ascii="Times New Roman" w:hAnsi="Times New Roman"/>
          <w:sz w:val="24"/>
          <w:szCs w:val="24"/>
        </w:rPr>
        <w:t xml:space="preserve"> paraksta ārstniecības iestādes kurjers (pilnvarota perona) un NMC atbildīgais darbinieks. Parakstītais </w:t>
      </w:r>
      <w:r w:rsidR="00603BE5" w:rsidRPr="00B27E54">
        <w:rPr>
          <w:rFonts w:ascii="Times New Roman" w:hAnsi="Times New Roman"/>
          <w:sz w:val="24"/>
          <w:szCs w:val="24"/>
        </w:rPr>
        <w:t>pieņemšanas-nodošanas akts</w:t>
      </w:r>
      <w:r w:rsidRPr="00B27E54">
        <w:rPr>
          <w:rFonts w:ascii="Times New Roman" w:hAnsi="Times New Roman"/>
          <w:sz w:val="24"/>
          <w:szCs w:val="24"/>
        </w:rPr>
        <w:t xml:space="preserve"> nākamās darba dienas laikā ir jānogādā uz PSKUS aptieku</w:t>
      </w:r>
      <w:r w:rsidR="007A1A28" w:rsidRPr="00B27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A28" w:rsidRPr="00B27E54">
        <w:rPr>
          <w:rFonts w:ascii="Times New Roman" w:hAnsi="Times New Roman"/>
          <w:sz w:val="24"/>
          <w:szCs w:val="24"/>
        </w:rPr>
        <w:t>A.Kanapuhinam</w:t>
      </w:r>
      <w:proofErr w:type="spellEnd"/>
      <w:r w:rsidRPr="00B27E54">
        <w:rPr>
          <w:rFonts w:ascii="Times New Roman" w:hAnsi="Times New Roman"/>
          <w:sz w:val="24"/>
          <w:szCs w:val="24"/>
        </w:rPr>
        <w:t>.</w:t>
      </w:r>
    </w:p>
    <w:p w14:paraId="25737D45" w14:textId="3D287A34" w:rsidR="005B51FB" w:rsidRPr="00B27E54" w:rsidRDefault="00603BE5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>Saņemot Medikamentu no PSKUS aptiekas, ā</w:t>
      </w:r>
      <w:r w:rsidR="005B51FB" w:rsidRPr="00B27E54">
        <w:rPr>
          <w:rFonts w:ascii="Times New Roman" w:hAnsi="Times New Roman"/>
          <w:sz w:val="24"/>
          <w:szCs w:val="24"/>
        </w:rPr>
        <w:t>rstniecības iestāde</w:t>
      </w:r>
      <w:r w:rsidRPr="00B27E54">
        <w:rPr>
          <w:rFonts w:ascii="Times New Roman" w:hAnsi="Times New Roman"/>
          <w:sz w:val="24"/>
          <w:szCs w:val="24"/>
        </w:rPr>
        <w:t xml:space="preserve"> (</w:t>
      </w:r>
      <w:r w:rsidR="005B51FB" w:rsidRPr="00B27E54">
        <w:rPr>
          <w:rFonts w:ascii="Times New Roman" w:hAnsi="Times New Roman"/>
          <w:sz w:val="24"/>
          <w:szCs w:val="24"/>
        </w:rPr>
        <w:t xml:space="preserve">kas saņem </w:t>
      </w:r>
      <w:r w:rsidR="007A1A28" w:rsidRPr="00B27E54">
        <w:rPr>
          <w:rFonts w:ascii="Times New Roman" w:hAnsi="Times New Roman"/>
          <w:sz w:val="24"/>
          <w:szCs w:val="24"/>
        </w:rPr>
        <w:t>M</w:t>
      </w:r>
      <w:r w:rsidR="005B51FB" w:rsidRPr="00B27E54">
        <w:rPr>
          <w:rFonts w:ascii="Times New Roman" w:hAnsi="Times New Roman"/>
          <w:sz w:val="24"/>
          <w:szCs w:val="24"/>
        </w:rPr>
        <w:t>edikamentu</w:t>
      </w:r>
      <w:r w:rsidRPr="00B27E54">
        <w:rPr>
          <w:rFonts w:ascii="Times New Roman" w:hAnsi="Times New Roman"/>
          <w:sz w:val="24"/>
          <w:szCs w:val="24"/>
        </w:rPr>
        <w:t xml:space="preserve">) </w:t>
      </w:r>
      <w:r w:rsidR="005B51FB" w:rsidRPr="00B27E54">
        <w:rPr>
          <w:rFonts w:ascii="Times New Roman" w:hAnsi="Times New Roman"/>
          <w:sz w:val="24"/>
          <w:szCs w:val="24"/>
        </w:rPr>
        <w:t xml:space="preserve">ir atbildīga par </w:t>
      </w:r>
      <w:r w:rsidRPr="00B27E54">
        <w:rPr>
          <w:rFonts w:ascii="Times New Roman" w:hAnsi="Times New Roman"/>
          <w:sz w:val="24"/>
          <w:szCs w:val="24"/>
        </w:rPr>
        <w:t xml:space="preserve">Medikamenta </w:t>
      </w:r>
      <w:r w:rsidR="005B51FB" w:rsidRPr="00B27E54">
        <w:rPr>
          <w:rFonts w:ascii="Times New Roman" w:hAnsi="Times New Roman"/>
          <w:sz w:val="24"/>
          <w:szCs w:val="24"/>
        </w:rPr>
        <w:t>parei</w:t>
      </w:r>
      <w:r w:rsidRPr="00B27E54">
        <w:rPr>
          <w:rFonts w:ascii="Times New Roman" w:hAnsi="Times New Roman"/>
          <w:sz w:val="24"/>
          <w:szCs w:val="24"/>
        </w:rPr>
        <w:t>zu glabāšanu un transportēšanu</w:t>
      </w:r>
      <w:r w:rsidR="007A1A28" w:rsidRPr="00B27E54">
        <w:rPr>
          <w:rFonts w:ascii="Times New Roman" w:hAnsi="Times New Roman"/>
          <w:sz w:val="24"/>
          <w:szCs w:val="24"/>
        </w:rPr>
        <w:t xml:space="preserve"> –</w:t>
      </w:r>
      <w:r w:rsidR="005B51FB" w:rsidRPr="00B27E54">
        <w:rPr>
          <w:rFonts w:ascii="Times New Roman" w:hAnsi="Times New Roman"/>
          <w:sz w:val="24"/>
          <w:szCs w:val="24"/>
        </w:rPr>
        <w:t xml:space="preserve"> </w:t>
      </w:r>
      <w:r w:rsidR="007A1A28" w:rsidRPr="00B27E54">
        <w:rPr>
          <w:rFonts w:ascii="Times New Roman" w:hAnsi="Times New Roman"/>
          <w:sz w:val="24"/>
          <w:szCs w:val="24"/>
        </w:rPr>
        <w:t xml:space="preserve">atļautā </w:t>
      </w:r>
      <w:r w:rsidR="005B51FB" w:rsidRPr="00B27E54">
        <w:rPr>
          <w:rFonts w:ascii="Times New Roman" w:hAnsi="Times New Roman"/>
          <w:sz w:val="24"/>
          <w:szCs w:val="24"/>
        </w:rPr>
        <w:t xml:space="preserve">temperatūras režīma ievērošanu </w:t>
      </w:r>
      <w:r w:rsidRPr="00B27E54">
        <w:rPr>
          <w:rFonts w:ascii="Times New Roman" w:hAnsi="Times New Roman"/>
          <w:sz w:val="24"/>
          <w:szCs w:val="24"/>
        </w:rPr>
        <w:t>pārvadāšanas</w:t>
      </w:r>
      <w:r w:rsidR="005B51FB" w:rsidRPr="00B27E54">
        <w:rPr>
          <w:rFonts w:ascii="Times New Roman" w:hAnsi="Times New Roman"/>
          <w:sz w:val="24"/>
          <w:szCs w:val="24"/>
        </w:rPr>
        <w:t xml:space="preserve"> laikā</w:t>
      </w:r>
      <w:r w:rsidRPr="00B27E54">
        <w:rPr>
          <w:rFonts w:ascii="Times New Roman" w:hAnsi="Times New Roman"/>
          <w:sz w:val="24"/>
          <w:szCs w:val="24"/>
        </w:rPr>
        <w:t>.</w:t>
      </w:r>
    </w:p>
    <w:p w14:paraId="2D54B32B" w14:textId="6C8184AD" w:rsidR="00C855EE" w:rsidRPr="00B27E54" w:rsidRDefault="00C855EE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Lai nodrošinātu savlaicīgu </w:t>
      </w:r>
      <w:r w:rsidR="007A1A28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edikamentu pieejamību reģionos un klīniskās universitātes slimnīcās, PSKUS</w:t>
      </w:r>
      <w:r w:rsidR="00DD5EE3" w:rsidRPr="00B27E54">
        <w:rPr>
          <w:rFonts w:ascii="Times New Roman" w:hAnsi="Times New Roman"/>
          <w:sz w:val="24"/>
          <w:szCs w:val="24"/>
        </w:rPr>
        <w:t xml:space="preserve"> </w:t>
      </w:r>
      <w:r w:rsidRPr="00B27E54">
        <w:rPr>
          <w:rFonts w:ascii="Times New Roman" w:hAnsi="Times New Roman"/>
          <w:sz w:val="24"/>
          <w:szCs w:val="24"/>
        </w:rPr>
        <w:t>aptieka izsniegs SIA “Rīgas Austrumu klīniskā universitātes slimnīca”, VSIA “Bērnu klīniskā universitātes slimnīca”,  SIA “Liepājas reģionālās slimnīca”, SIA “Daugavpils reģionālās slimnīca”</w:t>
      </w:r>
      <w:r w:rsidR="007A1A28" w:rsidRPr="00B27E54">
        <w:rPr>
          <w:rFonts w:ascii="Times New Roman" w:hAnsi="Times New Roman"/>
          <w:sz w:val="24"/>
          <w:szCs w:val="24"/>
        </w:rPr>
        <w:t>,</w:t>
      </w:r>
      <w:r w:rsidRPr="00B27E54">
        <w:rPr>
          <w:rFonts w:ascii="Times New Roman" w:hAnsi="Times New Roman"/>
          <w:sz w:val="24"/>
          <w:szCs w:val="24"/>
        </w:rPr>
        <w:t xml:space="preserve"> SIA “Vidzemes slimnīca”, SIA “Ziemeļkurzemes reģionālā slimnīca”, SIA “Rēzeknes slimnīca”, SIA “Jēkabpils reģionālā slimnīca” un SIA “Jelgavas </w:t>
      </w:r>
      <w:r w:rsidR="007A1A28" w:rsidRPr="00B27E54">
        <w:rPr>
          <w:rFonts w:ascii="Times New Roman" w:hAnsi="Times New Roman"/>
          <w:sz w:val="24"/>
          <w:szCs w:val="24"/>
        </w:rPr>
        <w:t xml:space="preserve">pilsētas </w:t>
      </w:r>
      <w:r w:rsidRPr="00B27E54">
        <w:rPr>
          <w:rFonts w:ascii="Times New Roman" w:hAnsi="Times New Roman"/>
          <w:sz w:val="24"/>
          <w:szCs w:val="24"/>
        </w:rPr>
        <w:t xml:space="preserve">slimnīca” </w:t>
      </w:r>
      <w:r w:rsidR="007A1A28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edikamenta rezervi atbilstoši tabulā norādītājam daudzumam: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4120"/>
        <w:gridCol w:w="2620"/>
      </w:tblGrid>
      <w:tr w:rsidR="00612A26" w:rsidRPr="00B27E54" w14:paraId="404E0FEA" w14:textId="77777777" w:rsidTr="00CC35C3">
        <w:trPr>
          <w:trHeight w:val="57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4EF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Ārstniecības iestāde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645" w14:textId="571FBC0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REGN-COV2</w:t>
            </w:r>
            <w:r w:rsidR="00DD5EE3"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daudzums (</w:t>
            </w:r>
            <w:proofErr w:type="spellStart"/>
            <w:r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Casirivimab+Imdevimab</w:t>
            </w:r>
            <w:proofErr w:type="spellEnd"/>
            <w:r w:rsidRPr="00B27E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612A26" w:rsidRPr="00B27E54" w14:paraId="494867F1" w14:textId="77777777" w:rsidTr="00CC35C3">
        <w:trPr>
          <w:trHeight w:val="408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EC0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Rīgas Austrumu klīniskā universitātes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DF3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</w:p>
        </w:tc>
      </w:tr>
      <w:tr w:rsidR="00612A26" w:rsidRPr="00B27E54" w14:paraId="554855DA" w14:textId="77777777" w:rsidTr="00CC35C3">
        <w:trPr>
          <w:trHeight w:val="3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B45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Bērnu klīniskā universitātes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44A" w14:textId="073C5E3C" w:rsidR="00435727" w:rsidRPr="00B27E54" w:rsidRDefault="00435727" w:rsidP="004357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</w:tr>
      <w:tr w:rsidR="00612A26" w:rsidRPr="00B27E54" w14:paraId="2D71F7AD" w14:textId="77777777" w:rsidTr="00CC35C3">
        <w:trPr>
          <w:trHeight w:val="31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429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Liepājas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C2E" w14:textId="53279690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B27E54" w14:paraId="59747EAD" w14:textId="77777777" w:rsidTr="00CC35C3">
        <w:trPr>
          <w:trHeight w:val="324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CB6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2D2" w14:textId="003A0BAA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B27E54" w14:paraId="61C31723" w14:textId="77777777" w:rsidTr="00CC35C3">
        <w:trPr>
          <w:trHeight w:val="3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B43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Vidzemes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010" w14:textId="5E4E373D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</w:tr>
      <w:tr w:rsidR="00612A26" w:rsidRPr="00B27E54" w14:paraId="0B815081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8757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Ziemeļkurzemes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E1E" w14:textId="098E5D7E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B27E54" w14:paraId="20DB36D8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22E7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Jēkabpils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10A" w14:textId="263436DE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B27E54" w14:paraId="66858B8E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9C3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Rēzeknes reģionālā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7A6" w14:textId="283C5891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  <w:tr w:rsidR="00612A26" w:rsidRPr="00B27E54" w14:paraId="2F5BCCCA" w14:textId="77777777" w:rsidTr="00CC35C3">
        <w:trPr>
          <w:trHeight w:val="27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5E4" w14:textId="77777777" w:rsidR="00C855EE" w:rsidRPr="00B27E54" w:rsidRDefault="00C855EE" w:rsidP="00CC35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Jelgavas pilsētas slimnīca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69B" w14:textId="6277D2DA" w:rsidR="00C855EE" w:rsidRPr="00B27E54" w:rsidRDefault="00435727" w:rsidP="00CC35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v-LV"/>
              </w:rPr>
            </w:pPr>
            <w:r w:rsidRPr="00B27E54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</w:tr>
    </w:tbl>
    <w:p w14:paraId="6FCC2B1C" w14:textId="77777777" w:rsidR="00C855EE" w:rsidRPr="00B27E54" w:rsidRDefault="00C855EE" w:rsidP="00C855EE">
      <w:pPr>
        <w:pStyle w:val="ListParagraph"/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57825F3" w14:textId="1A10DF1F" w:rsidR="00C855EE" w:rsidRPr="00B27E54" w:rsidRDefault="00C855EE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Lai </w:t>
      </w:r>
      <w:r w:rsidR="00DD5EE3" w:rsidRPr="00B27E54">
        <w:rPr>
          <w:rFonts w:ascii="Times New Roman" w:hAnsi="Times New Roman"/>
          <w:sz w:val="24"/>
          <w:szCs w:val="24"/>
        </w:rPr>
        <w:t>9</w:t>
      </w:r>
      <w:r w:rsidRPr="00B27E54">
        <w:rPr>
          <w:rFonts w:ascii="Times New Roman" w:hAnsi="Times New Roman"/>
          <w:sz w:val="24"/>
          <w:szCs w:val="24"/>
        </w:rPr>
        <w:t>.punktā minētajās ārstniecības iestādēs nodrošinātu savlaicīgu Medikamenta krājumu atjaunošanu, attiecīgās slimnīcas aptiekas vadītājs sazinās ar PSKUS aptieku vadītāju (Andrejs Kanapuhins, mob. 29527905, e-pasts andrejs.kanapuhins@stradini.lv), nosūtot e-pastu un norādot nepieciešamo Medikamenta  daudzumu. Medikaments tiks izsniegts</w:t>
      </w:r>
      <w:r w:rsidR="007A1A28" w:rsidRPr="00B27E54">
        <w:rPr>
          <w:rFonts w:ascii="Times New Roman" w:hAnsi="Times New Roman"/>
          <w:sz w:val="24"/>
          <w:szCs w:val="24"/>
        </w:rPr>
        <w:t>,</w:t>
      </w:r>
      <w:r w:rsidRPr="00B27E54">
        <w:rPr>
          <w:rFonts w:ascii="Times New Roman" w:hAnsi="Times New Roman"/>
          <w:sz w:val="24"/>
          <w:szCs w:val="24"/>
        </w:rPr>
        <w:t xml:space="preserve"> noformējot preču pavadzīmi PSKUS uzskaites sistēmā </w:t>
      </w:r>
      <w:proofErr w:type="spellStart"/>
      <w:r w:rsidRPr="00B27E54">
        <w:rPr>
          <w:rFonts w:ascii="Times New Roman" w:hAnsi="Times New Roman"/>
          <w:i/>
          <w:iCs/>
          <w:sz w:val="24"/>
          <w:szCs w:val="24"/>
        </w:rPr>
        <w:t>Horizon</w:t>
      </w:r>
      <w:proofErr w:type="spellEnd"/>
      <w:r w:rsidRPr="00B27E54">
        <w:rPr>
          <w:rFonts w:ascii="Times New Roman" w:hAnsi="Times New Roman"/>
          <w:sz w:val="24"/>
          <w:szCs w:val="24"/>
        </w:rPr>
        <w:t>.</w:t>
      </w:r>
    </w:p>
    <w:p w14:paraId="5A99781D" w14:textId="144C578B" w:rsidR="005B51FB" w:rsidRPr="0090722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7E54">
        <w:rPr>
          <w:rFonts w:ascii="Times New Roman" w:hAnsi="Times New Roman"/>
          <w:sz w:val="24"/>
          <w:szCs w:val="24"/>
        </w:rPr>
        <w:t xml:space="preserve">Ja </w:t>
      </w:r>
      <w:r w:rsidR="007A1A28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edikaments ārstniecība</w:t>
      </w:r>
      <w:r w:rsidR="007A625C" w:rsidRPr="00B27E54">
        <w:rPr>
          <w:rFonts w:ascii="Times New Roman" w:hAnsi="Times New Roman"/>
          <w:sz w:val="24"/>
          <w:szCs w:val="24"/>
        </w:rPr>
        <w:t>s iestādē</w:t>
      </w:r>
      <w:r w:rsidR="00010A46" w:rsidRPr="00B27E54">
        <w:rPr>
          <w:rFonts w:ascii="Times New Roman" w:hAnsi="Times New Roman"/>
          <w:sz w:val="24"/>
          <w:szCs w:val="24"/>
        </w:rPr>
        <w:t>, kas nav minētā 2.punktā,</w:t>
      </w:r>
      <w:r w:rsidR="007A625C" w:rsidRPr="00B27E54">
        <w:rPr>
          <w:rFonts w:ascii="Times New Roman" w:hAnsi="Times New Roman"/>
          <w:sz w:val="24"/>
          <w:szCs w:val="24"/>
        </w:rPr>
        <w:t xml:space="preserve"> nav izlietots </w:t>
      </w:r>
      <w:r w:rsidRPr="00B27E54">
        <w:rPr>
          <w:rFonts w:ascii="Times New Roman" w:hAnsi="Times New Roman"/>
          <w:sz w:val="24"/>
          <w:szCs w:val="24"/>
        </w:rPr>
        <w:t xml:space="preserve">(piem., </w:t>
      </w:r>
      <w:r w:rsidR="007A625C" w:rsidRPr="00B27E54">
        <w:rPr>
          <w:rFonts w:ascii="Times New Roman" w:hAnsi="Times New Roman"/>
          <w:sz w:val="24"/>
          <w:szCs w:val="24"/>
        </w:rPr>
        <w:t>pacienta veselības stāvokļa izmaiņu dēļ vai</w:t>
      </w:r>
      <w:r w:rsidRPr="00B27E54">
        <w:rPr>
          <w:rFonts w:ascii="Times New Roman" w:hAnsi="Times New Roman"/>
          <w:sz w:val="24"/>
          <w:szCs w:val="24"/>
        </w:rPr>
        <w:t xml:space="preserve"> nāves gadījumā), ārstniecības iestādes pienākums ir </w:t>
      </w:r>
      <w:r w:rsidR="007A1A28" w:rsidRPr="00B27E54">
        <w:rPr>
          <w:rFonts w:ascii="Times New Roman" w:hAnsi="Times New Roman"/>
          <w:sz w:val="24"/>
          <w:szCs w:val="24"/>
        </w:rPr>
        <w:t xml:space="preserve">nodot atpakaļ neatvērtos Medikamenta iepakojumus/neatvērto vienību oriģinālus  </w:t>
      </w:r>
      <w:r w:rsidRPr="00B27E54">
        <w:rPr>
          <w:rFonts w:ascii="Times New Roman" w:hAnsi="Times New Roman"/>
          <w:sz w:val="24"/>
          <w:szCs w:val="24"/>
        </w:rPr>
        <w:t>PSKUS aptiek</w:t>
      </w:r>
      <w:r w:rsidR="00603BE5" w:rsidRPr="00B27E54">
        <w:rPr>
          <w:rFonts w:ascii="Times New Roman" w:hAnsi="Times New Roman"/>
          <w:sz w:val="24"/>
          <w:szCs w:val="24"/>
        </w:rPr>
        <w:t>ā</w:t>
      </w:r>
      <w:r w:rsidRPr="00B27E54">
        <w:rPr>
          <w:rFonts w:ascii="Times New Roman" w:hAnsi="Times New Roman"/>
          <w:sz w:val="24"/>
          <w:szCs w:val="24"/>
        </w:rPr>
        <w:t xml:space="preserve">. Šādos gadījumos ārstniecības iestādes </w:t>
      </w:r>
      <w:r w:rsidR="00603BE5" w:rsidRPr="00B27E54">
        <w:rPr>
          <w:rFonts w:ascii="Times New Roman" w:hAnsi="Times New Roman"/>
          <w:sz w:val="24"/>
          <w:szCs w:val="24"/>
        </w:rPr>
        <w:t>pārstāvis</w:t>
      </w:r>
      <w:r w:rsidRPr="00B27E54">
        <w:rPr>
          <w:rFonts w:ascii="Times New Roman" w:hAnsi="Times New Roman"/>
          <w:sz w:val="24"/>
          <w:szCs w:val="24"/>
        </w:rPr>
        <w:t xml:space="preserve"> sazinās ar PSKUS aptiekas vadītāju un vienojas par neizlietot</w:t>
      </w:r>
      <w:r w:rsidR="007A1A28" w:rsidRPr="00B27E54">
        <w:rPr>
          <w:rFonts w:ascii="Times New Roman" w:hAnsi="Times New Roman"/>
          <w:sz w:val="24"/>
          <w:szCs w:val="24"/>
        </w:rPr>
        <w:t>o</w:t>
      </w:r>
      <w:r w:rsidRPr="00B27E54">
        <w:rPr>
          <w:rFonts w:ascii="Times New Roman" w:hAnsi="Times New Roman"/>
          <w:sz w:val="24"/>
          <w:szCs w:val="24"/>
        </w:rPr>
        <w:t xml:space="preserve"> </w:t>
      </w:r>
      <w:r w:rsidR="007A1A28" w:rsidRPr="00B27E54">
        <w:rPr>
          <w:rFonts w:ascii="Times New Roman" w:hAnsi="Times New Roman"/>
          <w:sz w:val="24"/>
          <w:szCs w:val="24"/>
        </w:rPr>
        <w:t>M</w:t>
      </w:r>
      <w:r w:rsidRPr="00B27E54">
        <w:rPr>
          <w:rFonts w:ascii="Times New Roman" w:hAnsi="Times New Roman"/>
          <w:sz w:val="24"/>
          <w:szCs w:val="24"/>
        </w:rPr>
        <w:t>edikamentu at</w:t>
      </w:r>
      <w:r w:rsidR="007A1A28" w:rsidRPr="00B27E54">
        <w:rPr>
          <w:rFonts w:ascii="Times New Roman" w:hAnsi="Times New Roman"/>
          <w:sz w:val="24"/>
          <w:szCs w:val="24"/>
        </w:rPr>
        <w:t>došanas kārtību.</w:t>
      </w:r>
      <w:r w:rsidRPr="00B27E54">
        <w:rPr>
          <w:rFonts w:ascii="Times New Roman" w:hAnsi="Times New Roman"/>
          <w:sz w:val="24"/>
          <w:szCs w:val="24"/>
        </w:rPr>
        <w:t xml:space="preserve"> Medikamenta at</w:t>
      </w:r>
      <w:r w:rsidR="007A1A28" w:rsidRPr="00B27E54">
        <w:rPr>
          <w:rFonts w:ascii="Times New Roman" w:hAnsi="Times New Roman"/>
          <w:sz w:val="24"/>
          <w:szCs w:val="24"/>
        </w:rPr>
        <w:t>došana</w:t>
      </w:r>
      <w:r w:rsidRPr="00B27E54">
        <w:rPr>
          <w:rFonts w:ascii="Times New Roman" w:hAnsi="Times New Roman"/>
          <w:sz w:val="24"/>
          <w:szCs w:val="24"/>
        </w:rPr>
        <w:t xml:space="preserve"> ir jānoformē ar pavadzīmi, pievienojot </w:t>
      </w:r>
      <w:r w:rsidR="00603BE5" w:rsidRPr="00B27E54">
        <w:rPr>
          <w:rFonts w:ascii="Times New Roman" w:hAnsi="Times New Roman"/>
          <w:sz w:val="24"/>
          <w:szCs w:val="24"/>
        </w:rPr>
        <w:t xml:space="preserve">ārstniecības iestādes </w:t>
      </w:r>
      <w:r w:rsidRPr="00907224">
        <w:rPr>
          <w:rFonts w:ascii="Times New Roman" w:hAnsi="Times New Roman"/>
          <w:sz w:val="24"/>
          <w:szCs w:val="24"/>
        </w:rPr>
        <w:t>parakstīt</w:t>
      </w:r>
      <w:r w:rsidR="00603BE5" w:rsidRPr="00907224">
        <w:rPr>
          <w:rFonts w:ascii="Times New Roman" w:hAnsi="Times New Roman"/>
          <w:sz w:val="24"/>
          <w:szCs w:val="24"/>
        </w:rPr>
        <w:t>u</w:t>
      </w:r>
      <w:r w:rsidRPr="00907224">
        <w:rPr>
          <w:rFonts w:ascii="Times New Roman" w:hAnsi="Times New Roman"/>
          <w:sz w:val="24"/>
          <w:szCs w:val="24"/>
        </w:rPr>
        <w:t xml:space="preserve"> apliecinājumu par </w:t>
      </w:r>
      <w:r w:rsidR="00603BE5" w:rsidRPr="00907224">
        <w:rPr>
          <w:rFonts w:ascii="Times New Roman" w:hAnsi="Times New Roman"/>
          <w:sz w:val="24"/>
          <w:szCs w:val="24"/>
        </w:rPr>
        <w:t xml:space="preserve">Medikamenta uzglabāšanu </w:t>
      </w:r>
      <w:r w:rsidRPr="00907224">
        <w:rPr>
          <w:rFonts w:ascii="Times New Roman" w:hAnsi="Times New Roman"/>
          <w:sz w:val="24"/>
          <w:szCs w:val="24"/>
        </w:rPr>
        <w:t>atbilstošā temperatūras režīm</w:t>
      </w:r>
      <w:r w:rsidR="007A1A28" w:rsidRPr="00907224">
        <w:rPr>
          <w:rFonts w:ascii="Times New Roman" w:hAnsi="Times New Roman"/>
          <w:sz w:val="24"/>
          <w:szCs w:val="24"/>
        </w:rPr>
        <w:t>ā</w:t>
      </w:r>
      <w:r w:rsidR="00603BE5" w:rsidRPr="00907224">
        <w:rPr>
          <w:rFonts w:ascii="Times New Roman" w:hAnsi="Times New Roman"/>
          <w:sz w:val="24"/>
          <w:szCs w:val="24"/>
        </w:rPr>
        <w:t xml:space="preserve"> </w:t>
      </w:r>
      <w:r w:rsidRPr="00907224">
        <w:rPr>
          <w:rFonts w:ascii="Times New Roman" w:hAnsi="Times New Roman"/>
          <w:sz w:val="24"/>
          <w:szCs w:val="24"/>
        </w:rPr>
        <w:t xml:space="preserve"> </w:t>
      </w:r>
      <w:r w:rsidR="007A1A28" w:rsidRPr="00907224">
        <w:rPr>
          <w:rFonts w:ascii="Times New Roman" w:hAnsi="Times New Roman"/>
          <w:sz w:val="24"/>
          <w:szCs w:val="24"/>
        </w:rPr>
        <w:t xml:space="preserve">tā </w:t>
      </w:r>
      <w:r w:rsidRPr="00907224">
        <w:rPr>
          <w:rFonts w:ascii="Times New Roman" w:hAnsi="Times New Roman"/>
          <w:sz w:val="24"/>
          <w:szCs w:val="24"/>
        </w:rPr>
        <w:t>transportēšanas un uzglabāšanas laikā.</w:t>
      </w:r>
    </w:p>
    <w:p w14:paraId="4FC73A93" w14:textId="4E9C233A" w:rsidR="00DD5EE3" w:rsidRPr="00907224" w:rsidRDefault="00DD5EE3" w:rsidP="00DD5EE3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7224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578B84C3" w14:textId="238926B8" w:rsidR="00B3231E" w:rsidRPr="00907224" w:rsidRDefault="00DD5EE3" w:rsidP="00DD5EE3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7224">
        <w:rPr>
          <w:rFonts w:ascii="Times New Roman" w:hAnsi="Times New Roman"/>
          <w:sz w:val="24"/>
          <w:szCs w:val="24"/>
        </w:rPr>
        <w:lastRenderedPageBreak/>
        <w:t>Pacientu mērķa grupas</w:t>
      </w:r>
      <w:r w:rsidR="0076537E" w:rsidRPr="00907224">
        <w:rPr>
          <w:rFonts w:ascii="Times New Roman" w:hAnsi="Times New Roman"/>
          <w:sz w:val="24"/>
          <w:szCs w:val="24"/>
        </w:rPr>
        <w:t>;</w:t>
      </w:r>
    </w:p>
    <w:p w14:paraId="5F9F2A1F" w14:textId="5A4AE9BD" w:rsidR="0076537E" w:rsidRPr="00907224" w:rsidRDefault="0076537E" w:rsidP="00DD5EE3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907224">
        <w:rPr>
          <w:rFonts w:ascii="Times New Roman" w:hAnsi="Times New Roman"/>
          <w:sz w:val="24"/>
          <w:szCs w:val="24"/>
        </w:rPr>
        <w:t>Casirivimab</w:t>
      </w:r>
      <w:proofErr w:type="spellEnd"/>
      <w:r w:rsidRPr="00907224">
        <w:rPr>
          <w:rFonts w:ascii="Times New Roman" w:hAnsi="Times New Roman"/>
          <w:sz w:val="24"/>
          <w:szCs w:val="24"/>
        </w:rPr>
        <w:t xml:space="preserve"> REGN-COV2 ievadīšanas rekomendācijas</w:t>
      </w:r>
    </w:p>
    <w:p w14:paraId="11B71153" w14:textId="77777777" w:rsidR="005B51FB" w:rsidRPr="00B27E54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p w14:paraId="372066E2" w14:textId="77777777" w:rsidR="005B51FB" w:rsidRPr="00B27E54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B27E54" w:rsidSect="00DF57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95E0" w14:textId="77777777" w:rsidR="006060ED" w:rsidRDefault="006060ED">
      <w:pPr>
        <w:spacing w:after="0" w:line="240" w:lineRule="auto"/>
      </w:pPr>
      <w:r>
        <w:separator/>
      </w:r>
    </w:p>
  </w:endnote>
  <w:endnote w:type="continuationSeparator" w:id="0">
    <w:p w14:paraId="10D540AA" w14:textId="77777777" w:rsidR="006060ED" w:rsidRDefault="0060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7A625C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B0F" w14:textId="5609FEE8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p w14:paraId="6910C43F" w14:textId="77777777" w:rsidR="00EB6D5E" w:rsidRPr="00EB6D5E" w:rsidRDefault="00EB6D5E" w:rsidP="00EB6D5E">
    <w:pPr>
      <w:suppressAutoHyphens w:val="0"/>
      <w:autoSpaceDN/>
      <w:spacing w:after="0" w:line="240" w:lineRule="auto"/>
      <w:jc w:val="center"/>
      <w:textAlignment w:val="auto"/>
      <w:rPr>
        <w:rFonts w:ascii="Times New Roman" w:eastAsia="Times New Roman" w:hAnsi="Times New Roman"/>
        <w:i/>
        <w:sz w:val="24"/>
        <w:szCs w:val="24"/>
      </w:rPr>
    </w:pPr>
  </w:p>
  <w:tbl>
    <w:tblPr>
      <w:tblW w:w="9211" w:type="dxa"/>
      <w:tblLook w:val="04A0" w:firstRow="1" w:lastRow="0" w:firstColumn="1" w:lastColumn="0" w:noHBand="0" w:noVBand="1"/>
    </w:tblPr>
    <w:tblGrid>
      <w:gridCol w:w="3436"/>
      <w:gridCol w:w="2551"/>
      <w:gridCol w:w="1701"/>
      <w:gridCol w:w="1523"/>
    </w:tblGrid>
    <w:tr w:rsidR="00040FFA" w14:paraId="22BC416E" w14:textId="77777777" w:rsidTr="000A2994">
      <w:tc>
        <w:tcPr>
          <w:tcW w:w="3436" w:type="dxa"/>
          <w:shd w:val="clear" w:color="auto" w:fill="auto"/>
        </w:tcPr>
        <w:p w14:paraId="43458EC3" w14:textId="77777777" w:rsidR="00EB6D5E" w:rsidRPr="00EB6D5E" w:rsidRDefault="00E44516" w:rsidP="00EB6D5E">
          <w:pPr>
            <w:spacing w:after="0" w:line="240" w:lineRule="auto"/>
            <w:ind w:left="-109" w:firstLine="109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 xml:space="preserve">VSIA “Paula Stradiņa Klīniskā universitātes slimnīca” </w:t>
          </w:r>
        </w:p>
        <w:p w14:paraId="5E829B91" w14:textId="77777777" w:rsidR="00EB6D5E" w:rsidRPr="00EB6D5E" w:rsidRDefault="00E44516" w:rsidP="00EB6D5E">
          <w:pPr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Reģ.Nr.40003457109</w:t>
          </w:r>
        </w:p>
        <w:p w14:paraId="5396E384" w14:textId="77777777" w:rsidR="00EB6D5E" w:rsidRPr="00EB6D5E" w:rsidRDefault="00E44516" w:rsidP="00EB6D5E">
          <w:pPr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PVN reģ.Nr.LV 40003457109</w:t>
          </w:r>
        </w:p>
        <w:p w14:paraId="5EA310A0" w14:textId="77777777" w:rsidR="00EB6D5E" w:rsidRPr="00EB6D5E" w:rsidRDefault="00E44516" w:rsidP="00EB6D5E">
          <w:pPr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Juridiskā adrese: Pilsoņu iela 13, Rīga, LV-1002, Latvija</w:t>
          </w:r>
        </w:p>
        <w:p w14:paraId="30C1A384" w14:textId="77777777" w:rsidR="00EB6D5E" w:rsidRPr="00EB6D5E" w:rsidRDefault="00EB6D5E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551" w:type="dxa"/>
          <w:shd w:val="clear" w:color="auto" w:fill="auto"/>
        </w:tcPr>
        <w:p w14:paraId="0FAACD2E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Banka: SEB, Āgenskalna filiāle, UNLALV2X</w:t>
          </w:r>
        </w:p>
        <w:p w14:paraId="268E2977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Konts: LV93UNLA0003029467144</w:t>
          </w:r>
        </w:p>
        <w:p w14:paraId="36D98635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Banka: SWEDBANK AS, HABALV22</w:t>
          </w:r>
        </w:p>
        <w:p w14:paraId="51FE8023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Konts: LV74HABA0551027673367</w:t>
          </w:r>
        </w:p>
      </w:tc>
      <w:tc>
        <w:tcPr>
          <w:tcW w:w="1701" w:type="dxa"/>
          <w:shd w:val="clear" w:color="auto" w:fill="auto"/>
        </w:tcPr>
        <w:p w14:paraId="2B86933C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Tālrunis: +371 67069601</w:t>
          </w:r>
        </w:p>
        <w:p w14:paraId="64CB3A70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 xml:space="preserve">e-pasts: </w:t>
          </w:r>
          <w:hyperlink r:id="rId1" w:history="1">
            <w:r w:rsidRPr="00EB6D5E">
              <w:rPr>
                <w:rFonts w:ascii="Arial Nova Light" w:hAnsi="Arial Nova Light"/>
                <w:color w:val="0563C1"/>
                <w:sz w:val="12"/>
                <w:szCs w:val="12"/>
                <w:u w:val="single"/>
              </w:rPr>
              <w:t>stradini@stradini.lv</w:t>
            </w:r>
          </w:hyperlink>
        </w:p>
        <w:p w14:paraId="638DCC21" w14:textId="77777777" w:rsidR="00EB6D5E" w:rsidRPr="00EB6D5E" w:rsidRDefault="00E44516" w:rsidP="00EB6D5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 Nova Light" w:hAnsi="Arial Nova Light"/>
              <w:sz w:val="12"/>
              <w:szCs w:val="12"/>
            </w:rPr>
          </w:pPr>
          <w:r w:rsidRPr="00EB6D5E">
            <w:rPr>
              <w:rFonts w:ascii="Arial Nova Light" w:hAnsi="Arial Nova Light"/>
              <w:sz w:val="12"/>
              <w:szCs w:val="12"/>
            </w:rPr>
            <w:t>stradini.lv</w:t>
          </w:r>
        </w:p>
      </w:tc>
      <w:tc>
        <w:tcPr>
          <w:tcW w:w="1523" w:type="dxa"/>
        </w:tcPr>
        <w:p w14:paraId="51DCE7FA" w14:textId="77777777" w:rsidR="00EB6D5E" w:rsidRPr="00EB6D5E" w:rsidRDefault="00EB6D5E" w:rsidP="00EB6D5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hAnsi="Times New Roman"/>
            </w:rPr>
          </w:pPr>
        </w:p>
      </w:tc>
    </w:tr>
  </w:tbl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7B8C" w14:textId="77777777" w:rsidR="006060ED" w:rsidRDefault="006060ED">
      <w:pPr>
        <w:spacing w:after="0" w:line="240" w:lineRule="auto"/>
      </w:pPr>
      <w:r>
        <w:separator/>
      </w:r>
    </w:p>
  </w:footnote>
  <w:footnote w:type="continuationSeparator" w:id="0">
    <w:p w14:paraId="762DEEE9" w14:textId="77777777" w:rsidR="006060ED" w:rsidRDefault="0060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77777777" w:rsidR="00EB6D5E" w:rsidRDefault="00E44516">
    <w:pPr>
      <w:pStyle w:val="Header"/>
    </w:pPr>
    <w:r>
      <w:rPr>
        <w:noProof/>
        <w:lang w:eastAsia="lv-LV"/>
      </w:rPr>
      <mc:AlternateContent>
        <mc:Choice Requires="wpc">
          <w:drawing>
            <wp:inline distT="0" distB="0" distL="0" distR="0" wp14:anchorId="5802CA15" wp14:editId="7E0F6C41">
              <wp:extent cx="3297555" cy="1428750"/>
              <wp:effectExtent l="3810" t="3175" r="381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75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1" o:spid="_x0000_i2049" editas="canvas" style="width:259.65pt;height:112.5pt;mso-position-horizontal-relative:char;mso-position-vertical-relative:line" coordsize="32975,142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32975;height:14287;mso-wrap-style:square;position:absolute;visibility:visible">
                <v:fill o:detectmouseclick="t"/>
              </v:shape>
              <v:shape id="Picture 4" o:spid="_x0000_s2051" type="#_x0000_t75" style="width:32975;height:11233;mso-wrap-style:square;position:absolute;visibility:visible">
                <v:imagedata r:id="rId2" o:title=""/>
              </v:shape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6D0C3638"/>
    <w:multiLevelType w:val="multilevel"/>
    <w:tmpl w:val="8D82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6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10A46"/>
    <w:rsid w:val="00024D7C"/>
    <w:rsid w:val="00040C53"/>
    <w:rsid w:val="00040FFA"/>
    <w:rsid w:val="000772AC"/>
    <w:rsid w:val="00094C24"/>
    <w:rsid w:val="000A2994"/>
    <w:rsid w:val="000D376A"/>
    <w:rsid w:val="000F66EC"/>
    <w:rsid w:val="001234D0"/>
    <w:rsid w:val="00141436"/>
    <w:rsid w:val="00147C79"/>
    <w:rsid w:val="00173A44"/>
    <w:rsid w:val="0017574C"/>
    <w:rsid w:val="00186018"/>
    <w:rsid w:val="001A7606"/>
    <w:rsid w:val="001B274E"/>
    <w:rsid w:val="001C2F6F"/>
    <w:rsid w:val="001E7660"/>
    <w:rsid w:val="001F7CD5"/>
    <w:rsid w:val="0020245B"/>
    <w:rsid w:val="002341F6"/>
    <w:rsid w:val="0023667D"/>
    <w:rsid w:val="00240D00"/>
    <w:rsid w:val="0025307B"/>
    <w:rsid w:val="00264AC7"/>
    <w:rsid w:val="0027003B"/>
    <w:rsid w:val="002B49D6"/>
    <w:rsid w:val="002C0CDB"/>
    <w:rsid w:val="002E0CBE"/>
    <w:rsid w:val="002E5178"/>
    <w:rsid w:val="002F3315"/>
    <w:rsid w:val="00311095"/>
    <w:rsid w:val="00322EBF"/>
    <w:rsid w:val="00337230"/>
    <w:rsid w:val="00380965"/>
    <w:rsid w:val="0039103C"/>
    <w:rsid w:val="003A294E"/>
    <w:rsid w:val="003A7D08"/>
    <w:rsid w:val="003B4A2A"/>
    <w:rsid w:val="003B6573"/>
    <w:rsid w:val="003F017F"/>
    <w:rsid w:val="003F553B"/>
    <w:rsid w:val="00403A17"/>
    <w:rsid w:val="00413E61"/>
    <w:rsid w:val="00427637"/>
    <w:rsid w:val="00435727"/>
    <w:rsid w:val="00445ACC"/>
    <w:rsid w:val="00447AC5"/>
    <w:rsid w:val="00485887"/>
    <w:rsid w:val="00486BB3"/>
    <w:rsid w:val="005260EE"/>
    <w:rsid w:val="0053717B"/>
    <w:rsid w:val="00562CF2"/>
    <w:rsid w:val="00567D36"/>
    <w:rsid w:val="005746C7"/>
    <w:rsid w:val="00580526"/>
    <w:rsid w:val="00580887"/>
    <w:rsid w:val="005A6B56"/>
    <w:rsid w:val="005B1894"/>
    <w:rsid w:val="005B51FB"/>
    <w:rsid w:val="005C7088"/>
    <w:rsid w:val="00603BE5"/>
    <w:rsid w:val="006060ED"/>
    <w:rsid w:val="00612A26"/>
    <w:rsid w:val="0063096A"/>
    <w:rsid w:val="0064687A"/>
    <w:rsid w:val="00652046"/>
    <w:rsid w:val="00661547"/>
    <w:rsid w:val="006639D7"/>
    <w:rsid w:val="0068047F"/>
    <w:rsid w:val="0069377D"/>
    <w:rsid w:val="006A595E"/>
    <w:rsid w:val="006D5293"/>
    <w:rsid w:val="006E708D"/>
    <w:rsid w:val="006F1701"/>
    <w:rsid w:val="0074342C"/>
    <w:rsid w:val="0076537E"/>
    <w:rsid w:val="00775DCD"/>
    <w:rsid w:val="00776E8B"/>
    <w:rsid w:val="0078145A"/>
    <w:rsid w:val="007A1A28"/>
    <w:rsid w:val="007A625C"/>
    <w:rsid w:val="007B3788"/>
    <w:rsid w:val="00806BF7"/>
    <w:rsid w:val="00811F82"/>
    <w:rsid w:val="008153C5"/>
    <w:rsid w:val="00816327"/>
    <w:rsid w:val="00840829"/>
    <w:rsid w:val="0084779E"/>
    <w:rsid w:val="00860379"/>
    <w:rsid w:val="00876ACA"/>
    <w:rsid w:val="008B0FB3"/>
    <w:rsid w:val="008C2A69"/>
    <w:rsid w:val="008C40AF"/>
    <w:rsid w:val="008F3ED6"/>
    <w:rsid w:val="008F71AA"/>
    <w:rsid w:val="00907224"/>
    <w:rsid w:val="0092667C"/>
    <w:rsid w:val="00936A63"/>
    <w:rsid w:val="00961FE3"/>
    <w:rsid w:val="00966FE9"/>
    <w:rsid w:val="00970B90"/>
    <w:rsid w:val="0098389F"/>
    <w:rsid w:val="00986409"/>
    <w:rsid w:val="009D160A"/>
    <w:rsid w:val="009D6680"/>
    <w:rsid w:val="00A04B65"/>
    <w:rsid w:val="00A07A74"/>
    <w:rsid w:val="00A42619"/>
    <w:rsid w:val="00A42F4D"/>
    <w:rsid w:val="00A73D5E"/>
    <w:rsid w:val="00A859C3"/>
    <w:rsid w:val="00AA669D"/>
    <w:rsid w:val="00AC7F2D"/>
    <w:rsid w:val="00AE0B79"/>
    <w:rsid w:val="00AE2D4F"/>
    <w:rsid w:val="00AF5CA6"/>
    <w:rsid w:val="00B06A49"/>
    <w:rsid w:val="00B07946"/>
    <w:rsid w:val="00B13D92"/>
    <w:rsid w:val="00B15044"/>
    <w:rsid w:val="00B177C4"/>
    <w:rsid w:val="00B2345A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75B87"/>
    <w:rsid w:val="00C855EE"/>
    <w:rsid w:val="00CA1DA4"/>
    <w:rsid w:val="00CA49A4"/>
    <w:rsid w:val="00CB5DA9"/>
    <w:rsid w:val="00CD3CE0"/>
    <w:rsid w:val="00CD7FD7"/>
    <w:rsid w:val="00D03A3F"/>
    <w:rsid w:val="00D12260"/>
    <w:rsid w:val="00D200C2"/>
    <w:rsid w:val="00D23298"/>
    <w:rsid w:val="00D7369D"/>
    <w:rsid w:val="00D84DA8"/>
    <w:rsid w:val="00D935A1"/>
    <w:rsid w:val="00D938BE"/>
    <w:rsid w:val="00D94942"/>
    <w:rsid w:val="00DC74F1"/>
    <w:rsid w:val="00DD19DC"/>
    <w:rsid w:val="00DD5EE3"/>
    <w:rsid w:val="00DE06B5"/>
    <w:rsid w:val="00DF57FC"/>
    <w:rsid w:val="00E16678"/>
    <w:rsid w:val="00E2317C"/>
    <w:rsid w:val="00E44516"/>
    <w:rsid w:val="00E539E9"/>
    <w:rsid w:val="00E5555C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C44C0"/>
    <w:rsid w:val="00ED7AB7"/>
    <w:rsid w:val="00EE20D1"/>
    <w:rsid w:val="00EE634A"/>
    <w:rsid w:val="00EE73F3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A79B2"/>
    <w:rsid w:val="00FB1702"/>
    <w:rsid w:val="00FB2F17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laze@stradin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radini@stradini.l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5398-8CFD-46FB-A61B-C71183B5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Skripkina</dc:creator>
  <cp:lastModifiedBy>Laura Kronberga</cp:lastModifiedBy>
  <cp:revision>7</cp:revision>
  <cp:lastPrinted>2019-10-02T08:47:00Z</cp:lastPrinted>
  <dcterms:created xsi:type="dcterms:W3CDTF">2021-10-14T18:23:00Z</dcterms:created>
  <dcterms:modified xsi:type="dcterms:W3CDTF">2021-10-18T04:53:00Z</dcterms:modified>
</cp:coreProperties>
</file>