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0A6D" w14:textId="77777777" w:rsidR="00752655" w:rsidRPr="00752655" w:rsidRDefault="00752655" w:rsidP="00752655">
      <w:pPr>
        <w:widowControl/>
        <w:ind w:right="27"/>
        <w:jc w:val="right"/>
        <w:rPr>
          <w:rFonts w:eastAsia="Times New Roman"/>
          <w:i/>
          <w:szCs w:val="24"/>
        </w:rPr>
      </w:pPr>
      <w:r w:rsidRPr="00752655">
        <w:rPr>
          <w:rFonts w:eastAsia="Times New Roman"/>
          <w:i/>
          <w:szCs w:val="24"/>
        </w:rPr>
        <w:t>Līguma par primārās veselības</w:t>
      </w:r>
    </w:p>
    <w:p w14:paraId="6BC3DA33" w14:textId="77777777" w:rsidR="00752655" w:rsidRPr="00752655" w:rsidRDefault="00752655" w:rsidP="00752655">
      <w:pPr>
        <w:widowControl/>
        <w:ind w:right="27"/>
        <w:jc w:val="right"/>
        <w:rPr>
          <w:rFonts w:eastAsia="Times New Roman"/>
          <w:i/>
          <w:szCs w:val="24"/>
        </w:rPr>
      </w:pPr>
      <w:r w:rsidRPr="00752655">
        <w:rPr>
          <w:rFonts w:eastAsia="Times New Roman"/>
          <w:i/>
          <w:szCs w:val="24"/>
        </w:rPr>
        <w:t>aprūpes pakalpojumu sniegšanu un apmaksu</w:t>
      </w:r>
    </w:p>
    <w:p w14:paraId="58924D9A" w14:textId="4DD35A62" w:rsidR="00F05A01" w:rsidRDefault="00752655" w:rsidP="00752655">
      <w:pPr>
        <w:widowControl/>
        <w:ind w:right="27"/>
        <w:jc w:val="right"/>
        <w:rPr>
          <w:rFonts w:eastAsia="Times New Roman"/>
          <w:b/>
          <w:szCs w:val="24"/>
        </w:rPr>
      </w:pPr>
      <w:r w:rsidRPr="00752655">
        <w:rPr>
          <w:rFonts w:eastAsia="Times New Roman"/>
          <w:i/>
          <w:szCs w:val="24"/>
        </w:rPr>
        <w:t>6.1.2</w:t>
      </w:r>
      <w:r>
        <w:rPr>
          <w:rFonts w:eastAsia="Times New Roman"/>
          <w:i/>
          <w:szCs w:val="24"/>
        </w:rPr>
        <w:t>1</w:t>
      </w:r>
      <w:r w:rsidRPr="00752655">
        <w:rPr>
          <w:rFonts w:eastAsia="Times New Roman"/>
          <w:i/>
          <w:szCs w:val="24"/>
        </w:rPr>
        <w:t>.punkts</w:t>
      </w:r>
    </w:p>
    <w:p w14:paraId="4D489CC0" w14:textId="77777777" w:rsidR="00F05A01" w:rsidRDefault="00F05A01" w:rsidP="00F05A01">
      <w:pPr>
        <w:widowControl/>
        <w:ind w:right="27"/>
        <w:jc w:val="both"/>
        <w:rPr>
          <w:rFonts w:eastAsia="Times New Roman"/>
          <w:b/>
          <w:szCs w:val="24"/>
        </w:rPr>
      </w:pPr>
    </w:p>
    <w:p w14:paraId="4B54E000" w14:textId="1F364318" w:rsidR="002B122A" w:rsidRDefault="002B122A" w:rsidP="00F05A01">
      <w:pPr>
        <w:widowControl/>
        <w:ind w:right="27"/>
        <w:jc w:val="center"/>
        <w:rPr>
          <w:rFonts w:eastAsia="Times New Roman"/>
          <w:b/>
          <w:szCs w:val="24"/>
        </w:rPr>
      </w:pPr>
      <w:bookmarkStart w:id="0" w:name="_Hlk73097017"/>
      <w:r>
        <w:rPr>
          <w:rFonts w:eastAsia="Times New Roman"/>
          <w:b/>
          <w:szCs w:val="24"/>
        </w:rPr>
        <w:t xml:space="preserve">Samaksa par sasniegtajiem </w:t>
      </w:r>
      <w:bookmarkStart w:id="1" w:name="_Hlk85205734"/>
      <w:r w:rsidRPr="002B122A">
        <w:rPr>
          <w:rFonts w:eastAsia="Times New Roman"/>
          <w:b/>
          <w:szCs w:val="24"/>
        </w:rPr>
        <w:t>Covid-19 vakcinācijas aptveres rādītājiem</w:t>
      </w:r>
      <w:r w:rsidR="007A68C8">
        <w:rPr>
          <w:rFonts w:eastAsia="Times New Roman"/>
          <w:b/>
          <w:szCs w:val="24"/>
        </w:rPr>
        <w:t xml:space="preserve"> </w:t>
      </w:r>
      <w:bookmarkEnd w:id="1"/>
      <w:r w:rsidR="007A68C8">
        <w:rPr>
          <w:rFonts w:eastAsia="Times New Roman"/>
          <w:b/>
          <w:szCs w:val="24"/>
        </w:rPr>
        <w:t>mērķa grupās</w:t>
      </w:r>
      <w:bookmarkEnd w:id="0"/>
      <w:r>
        <w:rPr>
          <w:rFonts w:eastAsia="Times New Roman"/>
          <w:b/>
          <w:szCs w:val="24"/>
        </w:rPr>
        <w:t>, to sniegšanas un apmaksas nosacījumi</w:t>
      </w:r>
    </w:p>
    <w:p w14:paraId="7FB8A66A" w14:textId="77777777" w:rsidR="00D56D5A" w:rsidRDefault="00D56D5A" w:rsidP="00F05A01">
      <w:pPr>
        <w:widowControl/>
        <w:ind w:right="27"/>
        <w:jc w:val="center"/>
        <w:rPr>
          <w:rFonts w:eastAsia="Times New Roman"/>
          <w:b/>
          <w:szCs w:val="24"/>
        </w:rPr>
      </w:pPr>
    </w:p>
    <w:p w14:paraId="229B7481" w14:textId="77777777" w:rsidR="002B122A" w:rsidRDefault="002B122A" w:rsidP="00F05A01">
      <w:pPr>
        <w:widowControl/>
        <w:ind w:right="27"/>
        <w:jc w:val="center"/>
        <w:rPr>
          <w:rFonts w:eastAsia="Times New Roman"/>
          <w:b/>
          <w:szCs w:val="24"/>
        </w:rPr>
      </w:pPr>
    </w:p>
    <w:p w14:paraId="075ABEEF" w14:textId="3116479A" w:rsidR="00FA1B7D" w:rsidRDefault="00FA1B7D" w:rsidP="00FA1B7D">
      <w:pPr>
        <w:widowControl/>
        <w:numPr>
          <w:ilvl w:val="0"/>
          <w:numId w:val="1"/>
        </w:numPr>
        <w:ind w:left="284" w:right="27" w:hanging="284"/>
        <w:jc w:val="both"/>
        <w:rPr>
          <w:rFonts w:eastAsia="Times New Roman"/>
          <w:szCs w:val="24"/>
        </w:rPr>
      </w:pPr>
      <w:r>
        <w:rPr>
          <w:rFonts w:eastAsia="Times New Roman"/>
          <w:szCs w:val="24"/>
        </w:rPr>
        <w:t>Saskaņā ar 2018. gada 28. augusta Ministra kabineta noteikumu Nr. 555 “</w:t>
      </w:r>
      <w:r w:rsidRPr="00FA1B7D">
        <w:rPr>
          <w:rFonts w:eastAsia="Times New Roman"/>
          <w:szCs w:val="24"/>
        </w:rPr>
        <w:t>Veselības aprūpes pakalpojumu organizēšanas un samaksas kārtība</w:t>
      </w:r>
      <w:r>
        <w:rPr>
          <w:rFonts w:eastAsia="Times New Roman"/>
          <w:szCs w:val="24"/>
        </w:rPr>
        <w:t xml:space="preserve">” </w:t>
      </w:r>
      <w:r w:rsidR="00C161F9" w:rsidRPr="00FC6770">
        <w:rPr>
          <w:rFonts w:eastAsia="Times New Roman"/>
          <w:szCs w:val="24"/>
        </w:rPr>
        <w:t>245.</w:t>
      </w:r>
      <w:r w:rsidR="00C161F9" w:rsidRPr="00FC6770">
        <w:rPr>
          <w:rFonts w:eastAsia="Times New Roman"/>
          <w:szCs w:val="24"/>
          <w:vertAlign w:val="superscript"/>
        </w:rPr>
        <w:t>3</w:t>
      </w:r>
      <w:r w:rsidRPr="00FC6770">
        <w:rPr>
          <w:rFonts w:eastAsia="Times New Roman"/>
          <w:szCs w:val="24"/>
        </w:rPr>
        <w:t xml:space="preserve"> punktu</w:t>
      </w:r>
      <w:r>
        <w:rPr>
          <w:rFonts w:eastAsia="Times New Roman"/>
          <w:szCs w:val="24"/>
        </w:rPr>
        <w:t xml:space="preserve"> </w:t>
      </w:r>
      <w:r w:rsidR="001B1A68">
        <w:rPr>
          <w:rFonts w:eastAsia="Times New Roman"/>
          <w:szCs w:val="24"/>
        </w:rPr>
        <w:t xml:space="preserve">un papildus Līguma 1. pielikumā noteiktiem maksājumiem </w:t>
      </w:r>
      <w:r>
        <w:rPr>
          <w:rFonts w:eastAsia="Times New Roman"/>
          <w:szCs w:val="24"/>
        </w:rPr>
        <w:t>DIENESTS</w:t>
      </w:r>
      <w:r w:rsidR="002C49A5">
        <w:rPr>
          <w:rFonts w:eastAsia="Times New Roman"/>
          <w:szCs w:val="24"/>
        </w:rPr>
        <w:t xml:space="preserve"> </w:t>
      </w:r>
      <w:bookmarkStart w:id="2" w:name="_Hlk85547483"/>
      <w:r w:rsidR="002C49A5" w:rsidRPr="002C49A5">
        <w:rPr>
          <w:rFonts w:eastAsia="Times New Roman"/>
          <w:szCs w:val="24"/>
        </w:rPr>
        <w:t>ģimenes ārsta praksei, kas nodrošina vakcināciju pret Covid-19 līgumā ar dienestu noteiktajā kārtībā</w:t>
      </w:r>
      <w:bookmarkEnd w:id="2"/>
      <w:r w:rsidR="002C49A5" w:rsidRPr="002C49A5">
        <w:rPr>
          <w:rFonts w:eastAsia="Times New Roman"/>
          <w:szCs w:val="24"/>
        </w:rPr>
        <w:t>, maksā</w:t>
      </w:r>
      <w:r w:rsidR="00DD2062">
        <w:rPr>
          <w:rFonts w:eastAsia="Times New Roman"/>
          <w:szCs w:val="24"/>
        </w:rPr>
        <w:t>:</w:t>
      </w:r>
    </w:p>
    <w:p w14:paraId="57EC1828" w14:textId="17679B6D" w:rsidR="002C49A5" w:rsidRDefault="002C49A5" w:rsidP="002C49A5">
      <w:pPr>
        <w:widowControl/>
        <w:ind w:right="27"/>
        <w:jc w:val="both"/>
        <w:rPr>
          <w:rFonts w:eastAsia="Times New Roman"/>
          <w:szCs w:val="24"/>
        </w:rPr>
      </w:pPr>
    </w:p>
    <w:p w14:paraId="68E70DF3" w14:textId="7DAA1905" w:rsidR="002C49A5" w:rsidRPr="002C49A5" w:rsidRDefault="002C49A5" w:rsidP="002C49A5">
      <w:pPr>
        <w:pStyle w:val="ListParagraph"/>
        <w:widowControl/>
        <w:numPr>
          <w:ilvl w:val="1"/>
          <w:numId w:val="1"/>
        </w:numPr>
        <w:ind w:left="1134" w:right="27" w:hanging="567"/>
        <w:jc w:val="both"/>
        <w:rPr>
          <w:rFonts w:eastAsia="Times New Roman"/>
          <w:szCs w:val="24"/>
        </w:rPr>
      </w:pPr>
      <w:bookmarkStart w:id="3" w:name="_Hlk85547407"/>
      <w:r w:rsidRPr="002C49A5">
        <w:rPr>
          <w:rFonts w:eastAsia="Times New Roman"/>
          <w:szCs w:val="24"/>
        </w:rPr>
        <w:t xml:space="preserve">par laikposmā no </w:t>
      </w:r>
      <w:r w:rsidRPr="00883BDB">
        <w:rPr>
          <w:rFonts w:eastAsia="Times New Roman"/>
          <w:szCs w:val="24"/>
        </w:rPr>
        <w:t>2021.gada 1.janvāra līdz 2021. gada 31. decembrim</w:t>
      </w:r>
      <w:r w:rsidRPr="002C49A5">
        <w:rPr>
          <w:rFonts w:eastAsia="Times New Roman"/>
          <w:szCs w:val="24"/>
        </w:rPr>
        <w:t xml:space="preserve"> sasniegtajiem Covid-19 vakcinācijas aptveres rādītājiem iedzīvotājiem vecumā no 60 gadiem un pacientiem no 18 gadu vecuma ar noteiktām hroniskām saslimšanām, kas publicētas Slimību profilakses un kontroles centra tīmekļvietnē:</w:t>
      </w:r>
    </w:p>
    <w:p w14:paraId="030EFF85" w14:textId="2F1CD14D" w:rsidR="002C49A5" w:rsidRPr="00FC6770" w:rsidRDefault="002C49A5" w:rsidP="002C49A5">
      <w:pPr>
        <w:pStyle w:val="ListParagraph"/>
        <w:widowControl/>
        <w:numPr>
          <w:ilvl w:val="2"/>
          <w:numId w:val="1"/>
        </w:numPr>
        <w:ind w:right="27"/>
        <w:jc w:val="both"/>
        <w:rPr>
          <w:rFonts w:eastAsia="Times New Roman"/>
          <w:szCs w:val="24"/>
        </w:rPr>
      </w:pPr>
      <w:r w:rsidRPr="002C49A5">
        <w:rPr>
          <w:rFonts w:eastAsia="Times New Roman"/>
          <w:szCs w:val="24"/>
        </w:rPr>
        <w:t xml:space="preserve">2,00 </w:t>
      </w:r>
      <w:proofErr w:type="spellStart"/>
      <w:r w:rsidRPr="002C49A5">
        <w:rPr>
          <w:rFonts w:eastAsia="Times New Roman"/>
          <w:szCs w:val="24"/>
        </w:rPr>
        <w:t>euro</w:t>
      </w:r>
      <w:proofErr w:type="spellEnd"/>
      <w:r w:rsidRPr="002C49A5">
        <w:rPr>
          <w:rFonts w:eastAsia="Times New Roman"/>
          <w:szCs w:val="24"/>
        </w:rPr>
        <w:t xml:space="preserve"> par katru personu, kurai pabeigta vakcinācija, ja vakcinācijas aptvere ir </w:t>
      </w:r>
      <w:r w:rsidRPr="00FC6770">
        <w:rPr>
          <w:rFonts w:eastAsia="Times New Roman"/>
          <w:szCs w:val="24"/>
        </w:rPr>
        <w:t>līdz 60 %</w:t>
      </w:r>
      <w:r w:rsidR="00FC6770" w:rsidRPr="00FC6770">
        <w:rPr>
          <w:rFonts w:eastAsia="Times New Roman"/>
          <w:szCs w:val="24"/>
        </w:rPr>
        <w:t xml:space="preserve"> (neieskaitot)</w:t>
      </w:r>
      <w:r w:rsidRPr="00FC6770">
        <w:rPr>
          <w:rFonts w:eastAsia="Times New Roman"/>
          <w:szCs w:val="24"/>
        </w:rPr>
        <w:t>;</w:t>
      </w:r>
    </w:p>
    <w:p w14:paraId="716D356E" w14:textId="22A19784" w:rsidR="002C49A5" w:rsidRPr="00FC6770" w:rsidRDefault="002C49A5" w:rsidP="002C49A5">
      <w:pPr>
        <w:pStyle w:val="ListParagraph"/>
        <w:widowControl/>
        <w:numPr>
          <w:ilvl w:val="2"/>
          <w:numId w:val="1"/>
        </w:numPr>
        <w:ind w:right="27"/>
        <w:jc w:val="both"/>
        <w:rPr>
          <w:rFonts w:eastAsia="Times New Roman"/>
          <w:szCs w:val="24"/>
        </w:rPr>
      </w:pPr>
      <w:r w:rsidRPr="00FC6770">
        <w:rPr>
          <w:rFonts w:eastAsia="Times New Roman"/>
          <w:szCs w:val="24"/>
        </w:rPr>
        <w:t xml:space="preserve">4,00 </w:t>
      </w:r>
      <w:proofErr w:type="spellStart"/>
      <w:r w:rsidRPr="00FC6770">
        <w:rPr>
          <w:rFonts w:eastAsia="Times New Roman"/>
          <w:szCs w:val="24"/>
        </w:rPr>
        <w:t>euro</w:t>
      </w:r>
      <w:proofErr w:type="spellEnd"/>
      <w:r w:rsidRPr="00FC6770">
        <w:rPr>
          <w:rFonts w:eastAsia="Times New Roman"/>
          <w:szCs w:val="24"/>
        </w:rPr>
        <w:t xml:space="preserve"> par katru personu, kurai pabeigta vakcinācija, ja vakcinācijas aptvere ir no 60 % līdz 80 %</w:t>
      </w:r>
      <w:r w:rsidR="00FC6770" w:rsidRPr="00FC6770">
        <w:rPr>
          <w:rFonts w:eastAsia="Times New Roman"/>
          <w:szCs w:val="24"/>
        </w:rPr>
        <w:t xml:space="preserve"> (neieskaitot)</w:t>
      </w:r>
      <w:r w:rsidRPr="00FC6770">
        <w:rPr>
          <w:rFonts w:eastAsia="Times New Roman"/>
          <w:szCs w:val="24"/>
        </w:rPr>
        <w:t>;</w:t>
      </w:r>
    </w:p>
    <w:p w14:paraId="05A7ABF0" w14:textId="3037D3E1" w:rsidR="002C49A5" w:rsidRPr="00FC6770" w:rsidRDefault="002C49A5" w:rsidP="002C49A5">
      <w:pPr>
        <w:pStyle w:val="ListParagraph"/>
        <w:widowControl/>
        <w:numPr>
          <w:ilvl w:val="2"/>
          <w:numId w:val="1"/>
        </w:numPr>
        <w:ind w:right="27"/>
        <w:jc w:val="both"/>
        <w:rPr>
          <w:rFonts w:eastAsia="Times New Roman"/>
          <w:szCs w:val="24"/>
        </w:rPr>
      </w:pPr>
      <w:r w:rsidRPr="00FC6770">
        <w:rPr>
          <w:rFonts w:eastAsia="Times New Roman"/>
          <w:szCs w:val="24"/>
        </w:rPr>
        <w:t xml:space="preserve">6,00 </w:t>
      </w:r>
      <w:proofErr w:type="spellStart"/>
      <w:r w:rsidRPr="00FC6770">
        <w:rPr>
          <w:rFonts w:eastAsia="Times New Roman"/>
          <w:szCs w:val="24"/>
        </w:rPr>
        <w:t>euro</w:t>
      </w:r>
      <w:proofErr w:type="spellEnd"/>
      <w:r w:rsidRPr="00FC6770">
        <w:rPr>
          <w:rFonts w:eastAsia="Times New Roman"/>
          <w:szCs w:val="24"/>
        </w:rPr>
        <w:t xml:space="preserve"> par katru personu, kurai pabeigta vakcinācija, ja vakcinācijas aptvere ir no 80 % līdz 100 %;</w:t>
      </w:r>
    </w:p>
    <w:p w14:paraId="0C7BBAAE" w14:textId="2076A1A1" w:rsidR="002C49A5" w:rsidRPr="00FC6770" w:rsidRDefault="002C49A5" w:rsidP="002C49A5">
      <w:pPr>
        <w:pStyle w:val="ListParagraph"/>
        <w:widowControl/>
        <w:numPr>
          <w:ilvl w:val="1"/>
          <w:numId w:val="1"/>
        </w:numPr>
        <w:ind w:left="1134" w:right="27" w:hanging="567"/>
        <w:jc w:val="both"/>
        <w:rPr>
          <w:rFonts w:eastAsia="Times New Roman"/>
          <w:szCs w:val="24"/>
        </w:rPr>
      </w:pPr>
      <w:r w:rsidRPr="00FC6770">
        <w:rPr>
          <w:rFonts w:eastAsia="Times New Roman"/>
          <w:szCs w:val="24"/>
        </w:rPr>
        <w:t>par laikposmā no 2021.gada 1.janvāra līdz 2021. gada 31. decembrim sasniegtajiem Covid-19 vakcinācijas aptveres rādītājiem iedzīvotājiem, kas nav minēti šī līguma pielikum</w:t>
      </w:r>
      <w:r w:rsidR="00883BDB" w:rsidRPr="00FC6770">
        <w:rPr>
          <w:rFonts w:eastAsia="Times New Roman"/>
          <w:szCs w:val="24"/>
        </w:rPr>
        <w:t>a</w:t>
      </w:r>
      <w:r w:rsidRPr="00FC6770">
        <w:rPr>
          <w:rFonts w:eastAsia="Times New Roman"/>
          <w:szCs w:val="24"/>
        </w:rPr>
        <w:t xml:space="preserve"> 1.1. punktā:</w:t>
      </w:r>
    </w:p>
    <w:p w14:paraId="01B56A4D" w14:textId="72D09A3A" w:rsidR="002C49A5" w:rsidRPr="00FC6770" w:rsidRDefault="002C49A5" w:rsidP="002C49A5">
      <w:pPr>
        <w:pStyle w:val="ListParagraph"/>
        <w:widowControl/>
        <w:numPr>
          <w:ilvl w:val="2"/>
          <w:numId w:val="1"/>
        </w:numPr>
        <w:ind w:right="27"/>
        <w:jc w:val="both"/>
        <w:rPr>
          <w:rFonts w:eastAsia="Times New Roman"/>
          <w:szCs w:val="24"/>
        </w:rPr>
      </w:pPr>
      <w:r w:rsidRPr="00FC6770">
        <w:rPr>
          <w:rFonts w:eastAsia="Times New Roman"/>
          <w:szCs w:val="24"/>
        </w:rPr>
        <w:t xml:space="preserve">1,00 </w:t>
      </w:r>
      <w:proofErr w:type="spellStart"/>
      <w:r w:rsidRPr="00FC6770">
        <w:rPr>
          <w:rFonts w:eastAsia="Times New Roman"/>
          <w:szCs w:val="24"/>
        </w:rPr>
        <w:t>euro</w:t>
      </w:r>
      <w:proofErr w:type="spellEnd"/>
      <w:r w:rsidRPr="00FC6770">
        <w:rPr>
          <w:rFonts w:eastAsia="Times New Roman"/>
          <w:szCs w:val="24"/>
        </w:rPr>
        <w:t xml:space="preserve"> par katru personu, kurai pabeigta vakcinācija, ja vakcinācijas aptvere ir līdz 50 %</w:t>
      </w:r>
      <w:r w:rsidR="00FC6770" w:rsidRPr="00FC6770">
        <w:rPr>
          <w:rFonts w:eastAsia="Times New Roman"/>
          <w:szCs w:val="24"/>
        </w:rPr>
        <w:t xml:space="preserve"> (neieskaitot)</w:t>
      </w:r>
      <w:r w:rsidRPr="00FC6770">
        <w:rPr>
          <w:rFonts w:eastAsia="Times New Roman"/>
          <w:szCs w:val="24"/>
        </w:rPr>
        <w:t>;</w:t>
      </w:r>
    </w:p>
    <w:p w14:paraId="27BBAB38" w14:textId="37748948" w:rsidR="002C49A5" w:rsidRPr="00FC6770" w:rsidRDefault="002C49A5" w:rsidP="002C49A5">
      <w:pPr>
        <w:pStyle w:val="ListParagraph"/>
        <w:widowControl/>
        <w:numPr>
          <w:ilvl w:val="2"/>
          <w:numId w:val="1"/>
        </w:numPr>
        <w:ind w:right="27"/>
        <w:jc w:val="both"/>
        <w:rPr>
          <w:rFonts w:eastAsia="Times New Roman"/>
          <w:szCs w:val="24"/>
        </w:rPr>
      </w:pPr>
      <w:r w:rsidRPr="00FC6770">
        <w:rPr>
          <w:rFonts w:eastAsia="Times New Roman"/>
          <w:szCs w:val="24"/>
        </w:rPr>
        <w:t xml:space="preserve">3,00 </w:t>
      </w:r>
      <w:proofErr w:type="spellStart"/>
      <w:r w:rsidRPr="00FC6770">
        <w:rPr>
          <w:rFonts w:eastAsia="Times New Roman"/>
          <w:szCs w:val="24"/>
        </w:rPr>
        <w:t>euro</w:t>
      </w:r>
      <w:proofErr w:type="spellEnd"/>
      <w:r w:rsidRPr="00FC6770">
        <w:rPr>
          <w:rFonts w:eastAsia="Times New Roman"/>
          <w:szCs w:val="24"/>
        </w:rPr>
        <w:t xml:space="preserve"> par katru personu, kurai pabeigta vakcinācija, ja vakcinācijas aptvere ir no 50 % līdz 70 %</w:t>
      </w:r>
      <w:r w:rsidR="00FC6770" w:rsidRPr="00FC6770">
        <w:rPr>
          <w:rFonts w:eastAsia="Times New Roman"/>
          <w:szCs w:val="24"/>
        </w:rPr>
        <w:t xml:space="preserve"> (neieskaitot)</w:t>
      </w:r>
      <w:r w:rsidRPr="00FC6770">
        <w:rPr>
          <w:rFonts w:eastAsia="Times New Roman"/>
          <w:szCs w:val="24"/>
        </w:rPr>
        <w:t>;</w:t>
      </w:r>
    </w:p>
    <w:p w14:paraId="7CC25B24" w14:textId="2925C3AD" w:rsidR="002C49A5" w:rsidRPr="00FC6770" w:rsidRDefault="002C49A5" w:rsidP="002C49A5">
      <w:pPr>
        <w:pStyle w:val="ListParagraph"/>
        <w:widowControl/>
        <w:numPr>
          <w:ilvl w:val="2"/>
          <w:numId w:val="1"/>
        </w:numPr>
        <w:ind w:right="27"/>
        <w:jc w:val="both"/>
        <w:rPr>
          <w:rFonts w:eastAsia="Times New Roman"/>
          <w:szCs w:val="24"/>
        </w:rPr>
      </w:pPr>
      <w:r w:rsidRPr="00FC6770">
        <w:rPr>
          <w:rFonts w:eastAsia="Times New Roman"/>
          <w:szCs w:val="24"/>
        </w:rPr>
        <w:t xml:space="preserve">5,00 </w:t>
      </w:r>
      <w:proofErr w:type="spellStart"/>
      <w:r w:rsidRPr="00FC6770">
        <w:rPr>
          <w:rFonts w:eastAsia="Times New Roman"/>
          <w:szCs w:val="24"/>
        </w:rPr>
        <w:t>euro</w:t>
      </w:r>
      <w:proofErr w:type="spellEnd"/>
      <w:r w:rsidRPr="00FC6770">
        <w:rPr>
          <w:rFonts w:eastAsia="Times New Roman"/>
          <w:szCs w:val="24"/>
        </w:rPr>
        <w:t xml:space="preserve"> par katru personu, kurai pabeigta vakcinācija, ja vakcinācijas aptvere ir no 70 % līdz 100 %.</w:t>
      </w:r>
    </w:p>
    <w:bookmarkEnd w:id="3"/>
    <w:p w14:paraId="184B0725" w14:textId="77777777" w:rsidR="002C49A5" w:rsidRPr="00FC6770" w:rsidRDefault="002C49A5" w:rsidP="002C49A5">
      <w:pPr>
        <w:pStyle w:val="ListParagraph"/>
        <w:widowControl/>
        <w:ind w:left="2880" w:right="27"/>
        <w:jc w:val="both"/>
        <w:rPr>
          <w:rFonts w:eastAsia="Times New Roman"/>
          <w:szCs w:val="24"/>
        </w:rPr>
      </w:pPr>
    </w:p>
    <w:p w14:paraId="50D1432E" w14:textId="7066B2F8" w:rsidR="00DD2062" w:rsidRPr="00FC6770" w:rsidRDefault="004101EE" w:rsidP="002C49A5">
      <w:pPr>
        <w:pStyle w:val="ListParagraph"/>
        <w:widowControl/>
        <w:numPr>
          <w:ilvl w:val="0"/>
          <w:numId w:val="1"/>
        </w:numPr>
        <w:ind w:right="27"/>
        <w:jc w:val="both"/>
        <w:rPr>
          <w:rFonts w:eastAsia="Times New Roman"/>
          <w:szCs w:val="24"/>
        </w:rPr>
      </w:pPr>
      <w:r w:rsidRPr="00FC6770">
        <w:rPr>
          <w:rFonts w:eastAsia="Times New Roman"/>
          <w:szCs w:val="24"/>
        </w:rPr>
        <w:t>Ģ</w:t>
      </w:r>
      <w:r w:rsidR="00DD2062" w:rsidRPr="00FC6770">
        <w:rPr>
          <w:rFonts w:eastAsia="Times New Roman"/>
          <w:szCs w:val="24"/>
        </w:rPr>
        <w:t>imenes ārstiem</w:t>
      </w:r>
      <w:r w:rsidRPr="00FC6770">
        <w:rPr>
          <w:rFonts w:eastAsia="Times New Roman"/>
          <w:szCs w:val="24"/>
        </w:rPr>
        <w:t>, kuri nenodrošina iedzīvotāju vakcināciju pret Covid-19, kā arī neiesaistās vakcinācijā pret Covid-19, slēdzot sadarbības līgumu par Covid-19 vakcināciju ar citu ārstniecības iestādi, bet tikai informē un motivē savus pacientus,</w:t>
      </w:r>
      <w:r w:rsidR="00DD2062" w:rsidRPr="00FC6770">
        <w:rPr>
          <w:rFonts w:eastAsia="Times New Roman"/>
          <w:szCs w:val="24"/>
        </w:rPr>
        <w:t xml:space="preserve"> no 2021. gada 1. janvāra līdz 2021. gada </w:t>
      </w:r>
      <w:r w:rsidR="00FC6770" w:rsidRPr="00FC6770">
        <w:rPr>
          <w:rFonts w:eastAsia="Times New Roman"/>
          <w:szCs w:val="24"/>
        </w:rPr>
        <w:t>30</w:t>
      </w:r>
      <w:r w:rsidR="00DD2062" w:rsidRPr="00FC6770">
        <w:rPr>
          <w:rFonts w:eastAsia="Times New Roman"/>
          <w:szCs w:val="24"/>
        </w:rPr>
        <w:t xml:space="preserve">. </w:t>
      </w:r>
      <w:r w:rsidR="00FC6770" w:rsidRPr="00FC6770">
        <w:rPr>
          <w:rFonts w:eastAsia="Times New Roman"/>
          <w:szCs w:val="24"/>
        </w:rPr>
        <w:t>septembrim</w:t>
      </w:r>
      <w:r w:rsidR="00DD2062" w:rsidRPr="00FC6770">
        <w:rPr>
          <w:rFonts w:eastAsia="Times New Roman"/>
          <w:szCs w:val="24"/>
        </w:rPr>
        <w:t xml:space="preserve"> senioru un hronisko pacientu grupai, paredzot par praksē reģistrēt</w:t>
      </w:r>
      <w:r w:rsidR="00197BD2" w:rsidRPr="00FC6770">
        <w:rPr>
          <w:rFonts w:eastAsia="Times New Roman"/>
          <w:szCs w:val="24"/>
        </w:rPr>
        <w:t>ā</w:t>
      </w:r>
      <w:r w:rsidR="00DD2062" w:rsidRPr="00FC6770">
        <w:rPr>
          <w:rFonts w:eastAsia="Times New Roman"/>
          <w:szCs w:val="24"/>
        </w:rPr>
        <w:t>m vakcinētām personām pret Covid-19 samaksu:</w:t>
      </w:r>
    </w:p>
    <w:p w14:paraId="66B1B4F6" w14:textId="3E2D00FE" w:rsidR="00DD2062" w:rsidRPr="00FC6770" w:rsidRDefault="00DD2062" w:rsidP="002C49A5">
      <w:pPr>
        <w:widowControl/>
        <w:numPr>
          <w:ilvl w:val="1"/>
          <w:numId w:val="1"/>
        </w:numPr>
        <w:ind w:left="1701" w:right="27" w:hanging="621"/>
        <w:jc w:val="both"/>
        <w:rPr>
          <w:rFonts w:eastAsia="Times New Roman"/>
          <w:szCs w:val="24"/>
        </w:rPr>
      </w:pPr>
      <w:r w:rsidRPr="00FC6770">
        <w:rPr>
          <w:rFonts w:eastAsia="Times New Roman"/>
          <w:szCs w:val="24"/>
        </w:rPr>
        <w:t xml:space="preserve">1,00  </w:t>
      </w:r>
      <w:proofErr w:type="spellStart"/>
      <w:r w:rsidRPr="00FC6770">
        <w:rPr>
          <w:rFonts w:eastAsia="Times New Roman"/>
          <w:szCs w:val="24"/>
        </w:rPr>
        <w:t>euro</w:t>
      </w:r>
      <w:proofErr w:type="spellEnd"/>
      <w:r w:rsidRPr="00FC6770">
        <w:rPr>
          <w:rFonts w:eastAsia="Times New Roman"/>
          <w:szCs w:val="24"/>
        </w:rPr>
        <w:t xml:space="preserve"> apmērā par katru vakcinēto personu, kura pabeidza vakcināciju, ja sasniegta aptvere līdz 60%</w:t>
      </w:r>
      <w:r w:rsidR="00FC6770" w:rsidRPr="00FC6770">
        <w:rPr>
          <w:rFonts w:eastAsia="Times New Roman"/>
          <w:szCs w:val="24"/>
        </w:rPr>
        <w:t xml:space="preserve"> (neieskaitot)</w:t>
      </w:r>
      <w:r w:rsidRPr="00FC6770">
        <w:rPr>
          <w:rFonts w:eastAsia="Times New Roman"/>
          <w:szCs w:val="24"/>
        </w:rPr>
        <w:t>;</w:t>
      </w:r>
    </w:p>
    <w:p w14:paraId="4A7833A2" w14:textId="14BE166D" w:rsidR="00DD2062" w:rsidRPr="00FC6770" w:rsidRDefault="00DD2062" w:rsidP="002C49A5">
      <w:pPr>
        <w:widowControl/>
        <w:numPr>
          <w:ilvl w:val="1"/>
          <w:numId w:val="1"/>
        </w:numPr>
        <w:ind w:left="1701" w:right="27" w:hanging="621"/>
        <w:jc w:val="both"/>
        <w:rPr>
          <w:rFonts w:eastAsia="Times New Roman"/>
          <w:szCs w:val="24"/>
        </w:rPr>
      </w:pPr>
      <w:r w:rsidRPr="00FC6770">
        <w:rPr>
          <w:rFonts w:eastAsia="Times New Roman"/>
          <w:szCs w:val="24"/>
        </w:rPr>
        <w:t xml:space="preserve"> 2,00 </w:t>
      </w:r>
      <w:proofErr w:type="spellStart"/>
      <w:r w:rsidRPr="00FC6770">
        <w:rPr>
          <w:rFonts w:eastAsia="Times New Roman"/>
          <w:szCs w:val="24"/>
        </w:rPr>
        <w:t>euro</w:t>
      </w:r>
      <w:proofErr w:type="spellEnd"/>
      <w:r w:rsidRPr="00FC6770">
        <w:rPr>
          <w:rFonts w:eastAsia="Times New Roman"/>
          <w:szCs w:val="24"/>
        </w:rPr>
        <w:t xml:space="preserve"> apmērā par katru vakcinēto personu, kura pabeidza vakcināciju, ja sasniegta aptvere no  60 % līdz 80%</w:t>
      </w:r>
      <w:r w:rsidR="00FC6770" w:rsidRPr="00FC6770">
        <w:rPr>
          <w:rFonts w:eastAsia="Times New Roman"/>
          <w:szCs w:val="24"/>
        </w:rPr>
        <w:t xml:space="preserve"> (neieskaitot)</w:t>
      </w:r>
      <w:r w:rsidRPr="00FC6770">
        <w:rPr>
          <w:rFonts w:eastAsia="Times New Roman"/>
          <w:szCs w:val="24"/>
        </w:rPr>
        <w:t>;</w:t>
      </w:r>
    </w:p>
    <w:p w14:paraId="2B4481E1" w14:textId="66EB3C33" w:rsidR="00C66DE9" w:rsidRPr="00FC6770" w:rsidRDefault="00DD2062" w:rsidP="002C49A5">
      <w:pPr>
        <w:widowControl/>
        <w:numPr>
          <w:ilvl w:val="1"/>
          <w:numId w:val="1"/>
        </w:numPr>
        <w:ind w:left="1701" w:right="27" w:hanging="621"/>
        <w:jc w:val="both"/>
        <w:rPr>
          <w:rFonts w:eastAsia="Times New Roman"/>
          <w:szCs w:val="24"/>
        </w:rPr>
      </w:pPr>
      <w:r w:rsidRPr="00FC6770">
        <w:rPr>
          <w:rFonts w:eastAsia="Times New Roman"/>
          <w:szCs w:val="24"/>
        </w:rPr>
        <w:t xml:space="preserve"> 3,00 </w:t>
      </w:r>
      <w:proofErr w:type="spellStart"/>
      <w:r w:rsidRPr="00FC6770">
        <w:rPr>
          <w:rFonts w:eastAsia="Times New Roman"/>
          <w:szCs w:val="24"/>
        </w:rPr>
        <w:t>euro</w:t>
      </w:r>
      <w:proofErr w:type="spellEnd"/>
      <w:r w:rsidRPr="00FC6770">
        <w:rPr>
          <w:rFonts w:eastAsia="Times New Roman"/>
          <w:szCs w:val="24"/>
        </w:rPr>
        <w:t xml:space="preserve"> apmērā par katru vakcinēto personu, kura pabeidza vakcināciju, ja sasniegta aptvere no 80% līdz 100%.</w:t>
      </w:r>
    </w:p>
    <w:p w14:paraId="38119AE7" w14:textId="77777777" w:rsidR="00FA1B7D" w:rsidRDefault="00FA1B7D" w:rsidP="001B1A68">
      <w:pPr>
        <w:widowControl/>
        <w:ind w:right="27"/>
        <w:jc w:val="both"/>
        <w:rPr>
          <w:rFonts w:eastAsia="Times New Roman"/>
          <w:szCs w:val="24"/>
        </w:rPr>
      </w:pPr>
    </w:p>
    <w:p w14:paraId="2F34BAA8" w14:textId="4D30EC8E" w:rsidR="00147CCF" w:rsidRPr="00AC259C" w:rsidRDefault="00147CCF" w:rsidP="00147CCF">
      <w:pPr>
        <w:pStyle w:val="ListParagraph"/>
        <w:numPr>
          <w:ilvl w:val="0"/>
          <w:numId w:val="1"/>
        </w:numPr>
        <w:ind w:right="27"/>
        <w:jc w:val="both"/>
        <w:rPr>
          <w:rFonts w:eastAsiaTheme="minorHAnsi"/>
          <w:szCs w:val="24"/>
        </w:rPr>
      </w:pPr>
      <w:r>
        <w:t xml:space="preserve">IZPILDĪTĀJS apņemas informēt </w:t>
      </w:r>
      <w:r w:rsidR="00182C54">
        <w:t xml:space="preserve">un motivēt </w:t>
      </w:r>
      <w:r>
        <w:t>IZPILDĪTĀJA</w:t>
      </w:r>
      <w:r w:rsidR="00182C54">
        <w:t xml:space="preserve"> ģimenes ārsta </w:t>
      </w:r>
      <w:r>
        <w:t xml:space="preserve"> pacientu reģistrā iekļautās personas par nepieciešamību  veikt Covid-19 vakcināciju, tās ieguvumiem </w:t>
      </w:r>
      <w:r w:rsidR="00182C54">
        <w:t xml:space="preserve"> personai </w:t>
      </w:r>
      <w:r>
        <w:t>un pozitīvo ietekmi uz sabiedrības veselību</w:t>
      </w:r>
      <w:r w:rsidR="00182C54">
        <w:t xml:space="preserve"> un  epidemioloģisko situāciju</w:t>
      </w:r>
      <w:r>
        <w:t xml:space="preserve">, kā arī informēt par </w:t>
      </w:r>
      <w:r w:rsidR="00182C54">
        <w:t>vakcināciju pret Covid-19 saņemšanas kārtību.</w:t>
      </w:r>
    </w:p>
    <w:p w14:paraId="68EFD46E" w14:textId="77777777" w:rsidR="00AC259C" w:rsidRPr="00AC259C" w:rsidRDefault="00AC259C" w:rsidP="00AC259C">
      <w:pPr>
        <w:ind w:right="27"/>
        <w:jc w:val="both"/>
        <w:rPr>
          <w:rFonts w:eastAsiaTheme="minorHAnsi"/>
          <w:szCs w:val="24"/>
        </w:rPr>
      </w:pPr>
    </w:p>
    <w:p w14:paraId="5F90FB8F" w14:textId="5BD9C6C2" w:rsidR="00FA28AD" w:rsidRPr="00FA1B7D" w:rsidRDefault="00FA1B7D" w:rsidP="00FA1B7D">
      <w:pPr>
        <w:widowControl/>
        <w:numPr>
          <w:ilvl w:val="0"/>
          <w:numId w:val="1"/>
        </w:numPr>
        <w:ind w:left="284" w:right="27" w:hanging="284"/>
        <w:jc w:val="both"/>
        <w:rPr>
          <w:rFonts w:eastAsia="Times New Roman"/>
          <w:szCs w:val="24"/>
        </w:rPr>
      </w:pPr>
      <w:r>
        <w:rPr>
          <w:rFonts w:eastAsia="Times New Roman"/>
          <w:szCs w:val="24"/>
        </w:rPr>
        <w:t>DIENESTS aprēķina un veic samaksu</w:t>
      </w:r>
      <w:r w:rsidR="00AC259C">
        <w:rPr>
          <w:rFonts w:eastAsia="Times New Roman"/>
          <w:szCs w:val="24"/>
        </w:rPr>
        <w:t xml:space="preserve"> </w:t>
      </w:r>
      <w:r w:rsidR="003737E6">
        <w:rPr>
          <w:rFonts w:eastAsia="Times New Roman"/>
          <w:szCs w:val="24"/>
        </w:rPr>
        <w:t>IZPILDĪT</w:t>
      </w:r>
      <w:r w:rsidR="002C49A5">
        <w:rPr>
          <w:rFonts w:eastAsia="Times New Roman"/>
          <w:szCs w:val="24"/>
        </w:rPr>
        <w:t>Ā</w:t>
      </w:r>
      <w:r w:rsidR="003737E6">
        <w:rPr>
          <w:rFonts w:eastAsia="Times New Roman"/>
          <w:szCs w:val="24"/>
        </w:rPr>
        <w:t>JAM</w:t>
      </w:r>
      <w:r w:rsidR="004420C3">
        <w:rPr>
          <w:rFonts w:eastAsia="Times New Roman"/>
          <w:szCs w:val="24"/>
        </w:rPr>
        <w:t>, atbilstoši šī pielikuma 1.1. un 2. punktā noteiktajam,</w:t>
      </w:r>
      <w:r w:rsidR="003737E6">
        <w:rPr>
          <w:rFonts w:eastAsia="Times New Roman"/>
          <w:szCs w:val="24"/>
        </w:rPr>
        <w:t xml:space="preserve"> </w:t>
      </w:r>
      <w:r>
        <w:rPr>
          <w:rFonts w:eastAsia="Times New Roman"/>
          <w:szCs w:val="24"/>
        </w:rPr>
        <w:t xml:space="preserve">par sasniegtajiem </w:t>
      </w:r>
      <w:r w:rsidR="002B122A" w:rsidRPr="00FA1B7D">
        <w:rPr>
          <w:rFonts w:eastAsia="Times New Roman"/>
          <w:szCs w:val="24"/>
        </w:rPr>
        <w:t xml:space="preserve">Covid-19 vakcinācijas </w:t>
      </w:r>
      <w:r w:rsidRPr="00FA1B7D">
        <w:rPr>
          <w:rFonts w:eastAsia="Times New Roman"/>
          <w:szCs w:val="24"/>
        </w:rPr>
        <w:t>aptveres rādītājiem</w:t>
      </w:r>
      <w:r>
        <w:rPr>
          <w:rFonts w:eastAsia="Times New Roman"/>
          <w:szCs w:val="24"/>
        </w:rPr>
        <w:t xml:space="preserve"> </w:t>
      </w:r>
      <w:r w:rsidR="003737E6">
        <w:rPr>
          <w:rFonts w:eastAsia="Times New Roman"/>
          <w:szCs w:val="24"/>
        </w:rPr>
        <w:t xml:space="preserve"> par praksē reģistrētām</w:t>
      </w:r>
      <w:r w:rsidR="00FA28AD" w:rsidRPr="00FA1B7D">
        <w:rPr>
          <w:rFonts w:eastAsia="Times New Roman"/>
          <w:szCs w:val="24"/>
        </w:rPr>
        <w:t>:</w:t>
      </w:r>
    </w:p>
    <w:p w14:paraId="1FCD6C9B" w14:textId="67A8BEC4" w:rsidR="00CC1ADB" w:rsidRDefault="00D56D5A" w:rsidP="00FA1B7D">
      <w:pPr>
        <w:widowControl/>
        <w:numPr>
          <w:ilvl w:val="1"/>
          <w:numId w:val="1"/>
        </w:numPr>
        <w:ind w:left="709" w:right="27" w:hanging="425"/>
        <w:jc w:val="both"/>
        <w:rPr>
          <w:rFonts w:eastAsia="Times New Roman"/>
          <w:szCs w:val="24"/>
        </w:rPr>
      </w:pPr>
      <w:r>
        <w:rPr>
          <w:rFonts w:eastAsia="Times New Roman"/>
          <w:szCs w:val="24"/>
        </w:rPr>
        <w:lastRenderedPageBreak/>
        <w:t xml:space="preserve"> </w:t>
      </w:r>
      <w:r w:rsidR="003737E6">
        <w:rPr>
          <w:rFonts w:eastAsia="Times New Roman"/>
          <w:szCs w:val="24"/>
        </w:rPr>
        <w:t xml:space="preserve">personām, kuras  </w:t>
      </w:r>
      <w:r w:rsidRPr="005F2CBA">
        <w:rPr>
          <w:rFonts w:eastAsia="Times New Roman"/>
          <w:szCs w:val="24"/>
        </w:rPr>
        <w:t xml:space="preserve">2021. gada 1. </w:t>
      </w:r>
      <w:r w:rsidR="005F2CBA">
        <w:rPr>
          <w:rFonts w:eastAsia="Times New Roman"/>
          <w:szCs w:val="24"/>
        </w:rPr>
        <w:t>janvār</w:t>
      </w:r>
      <w:r w:rsidR="00197BD2">
        <w:rPr>
          <w:rFonts w:eastAsia="Times New Roman"/>
          <w:szCs w:val="24"/>
        </w:rPr>
        <w:t>ī</w:t>
      </w:r>
      <w:r w:rsidR="003737E6">
        <w:rPr>
          <w:rFonts w:eastAsia="Times New Roman"/>
          <w:szCs w:val="24"/>
        </w:rPr>
        <w:t xml:space="preserve"> ir vecākas par </w:t>
      </w:r>
      <w:r w:rsidR="002B122A" w:rsidRPr="002B122A">
        <w:rPr>
          <w:rFonts w:eastAsia="Times New Roman"/>
          <w:szCs w:val="24"/>
        </w:rPr>
        <w:t xml:space="preserve"> 60 gadiem</w:t>
      </w:r>
      <w:r w:rsidR="00CC1ADB">
        <w:rPr>
          <w:rFonts w:eastAsia="Times New Roman"/>
          <w:szCs w:val="24"/>
        </w:rPr>
        <w:t>;</w:t>
      </w:r>
    </w:p>
    <w:p w14:paraId="36BA15B2" w14:textId="1FD2C602" w:rsidR="00C647BD" w:rsidRDefault="00FA1B7D" w:rsidP="00BD2DCB">
      <w:pPr>
        <w:widowControl/>
        <w:numPr>
          <w:ilvl w:val="1"/>
          <w:numId w:val="1"/>
        </w:numPr>
        <w:ind w:left="709" w:right="27" w:hanging="425"/>
        <w:jc w:val="both"/>
        <w:rPr>
          <w:rFonts w:eastAsia="Times New Roman"/>
          <w:szCs w:val="24"/>
        </w:rPr>
      </w:pPr>
      <w:r w:rsidRPr="00D56D5A">
        <w:rPr>
          <w:rFonts w:eastAsia="Times New Roman"/>
          <w:szCs w:val="24"/>
        </w:rPr>
        <w:t xml:space="preserve"> </w:t>
      </w:r>
      <w:r w:rsidR="003737E6">
        <w:rPr>
          <w:rFonts w:eastAsia="Times New Roman"/>
          <w:szCs w:val="24"/>
        </w:rPr>
        <w:t>p</w:t>
      </w:r>
      <w:r w:rsidR="00C647BD" w:rsidRPr="00D56D5A">
        <w:rPr>
          <w:rFonts w:eastAsia="Times New Roman"/>
          <w:szCs w:val="24"/>
        </w:rPr>
        <w:t>erson</w:t>
      </w:r>
      <w:r w:rsidR="003737E6">
        <w:rPr>
          <w:rFonts w:eastAsia="Times New Roman"/>
          <w:szCs w:val="24"/>
        </w:rPr>
        <w:t xml:space="preserve">ām </w:t>
      </w:r>
      <w:r w:rsidR="00197BD2">
        <w:rPr>
          <w:rFonts w:eastAsia="Times New Roman"/>
          <w:szCs w:val="24"/>
        </w:rPr>
        <w:t xml:space="preserve">ar </w:t>
      </w:r>
      <w:r w:rsidR="00C647BD" w:rsidRPr="00D56D5A">
        <w:rPr>
          <w:rFonts w:eastAsia="Times New Roman"/>
          <w:szCs w:val="24"/>
        </w:rPr>
        <w:t>noteiktām hroniskām s</w:t>
      </w:r>
      <w:r w:rsidR="003737E6">
        <w:rPr>
          <w:rFonts w:eastAsia="Times New Roman"/>
          <w:szCs w:val="24"/>
        </w:rPr>
        <w:t>limībām</w:t>
      </w:r>
      <w:r w:rsidR="00C647BD">
        <w:rPr>
          <w:rFonts w:eastAsia="Times New Roman"/>
          <w:szCs w:val="24"/>
        </w:rPr>
        <w:t>:</w:t>
      </w:r>
    </w:p>
    <w:p w14:paraId="638F557D" w14:textId="766AEAE8" w:rsidR="00C04080" w:rsidRPr="00AC259C" w:rsidRDefault="003737E6" w:rsidP="00C647BD">
      <w:pPr>
        <w:pStyle w:val="ListParagraph"/>
        <w:widowControl/>
        <w:numPr>
          <w:ilvl w:val="2"/>
          <w:numId w:val="1"/>
        </w:numPr>
        <w:ind w:left="1560" w:right="27"/>
        <w:jc w:val="both"/>
        <w:rPr>
          <w:rFonts w:eastAsia="Times New Roman"/>
          <w:szCs w:val="24"/>
        </w:rPr>
      </w:pPr>
      <w:r>
        <w:t xml:space="preserve">par kurām </w:t>
      </w:r>
      <w:r w:rsidR="0024664B">
        <w:t>2021. gada 1. janvārī</w:t>
      </w:r>
      <w:r w:rsidR="0024664B" w:rsidRPr="003737E6">
        <w:t xml:space="preserve"> </w:t>
      </w:r>
      <w:r w:rsidR="0024664B">
        <w:t xml:space="preserve">ir </w:t>
      </w:r>
      <w:r w:rsidRPr="003737E6">
        <w:t xml:space="preserve">dati </w:t>
      </w:r>
      <w:r w:rsidRPr="00AC259C">
        <w:rPr>
          <w:rStyle w:val="Strong"/>
          <w:b w:val="0"/>
          <w:bCs w:val="0"/>
          <w:color w:val="000000"/>
          <w:szCs w:val="24"/>
        </w:rPr>
        <w:t>Vienotās veselības nozares elektroniskās informācijas sistēma</w:t>
      </w:r>
      <w:r w:rsidRPr="003737E6">
        <w:t>s</w:t>
      </w:r>
      <w:r w:rsidRPr="005F2CBA" w:rsidDel="003737E6">
        <w:t xml:space="preserve"> </w:t>
      </w:r>
      <w:r>
        <w:t>PREDA</w:t>
      </w:r>
      <w:r w:rsidR="00C04080">
        <w:t>:</w:t>
      </w:r>
    </w:p>
    <w:p w14:paraId="0ED25D2C" w14:textId="0A6FA10E" w:rsidR="00C04080" w:rsidRPr="00AC259C" w:rsidRDefault="00AC259C" w:rsidP="00896C0C">
      <w:pPr>
        <w:pStyle w:val="ListParagraph"/>
        <w:widowControl/>
        <w:numPr>
          <w:ilvl w:val="3"/>
          <w:numId w:val="1"/>
        </w:numPr>
        <w:ind w:left="2268" w:right="27"/>
        <w:jc w:val="both"/>
        <w:rPr>
          <w:rFonts w:eastAsia="Times New Roman"/>
          <w:szCs w:val="24"/>
        </w:rPr>
      </w:pPr>
      <w:r>
        <w:t xml:space="preserve"> </w:t>
      </w:r>
      <w:r w:rsidR="00C647BD">
        <w:t>Cukura diabēta pacientu reģistrā</w:t>
      </w:r>
      <w:r>
        <w:t>;</w:t>
      </w:r>
    </w:p>
    <w:p w14:paraId="25360C19" w14:textId="778258FE" w:rsidR="00C04080" w:rsidRPr="00AC259C" w:rsidRDefault="00AC259C" w:rsidP="00896C0C">
      <w:pPr>
        <w:pStyle w:val="ListParagraph"/>
        <w:widowControl/>
        <w:numPr>
          <w:ilvl w:val="3"/>
          <w:numId w:val="1"/>
        </w:numPr>
        <w:ind w:left="2268" w:right="27"/>
        <w:jc w:val="both"/>
        <w:rPr>
          <w:rFonts w:eastAsia="Times New Roman"/>
          <w:szCs w:val="24"/>
        </w:rPr>
      </w:pPr>
      <w:r>
        <w:t xml:space="preserve"> </w:t>
      </w:r>
      <w:r w:rsidR="00C647BD">
        <w:t>Onkoloģisko pacientu reģistrā</w:t>
      </w:r>
      <w:r>
        <w:t>;</w:t>
      </w:r>
    </w:p>
    <w:p w14:paraId="358DE301" w14:textId="5E9D1057" w:rsidR="0024664B" w:rsidRPr="00AC259C" w:rsidRDefault="00AC259C" w:rsidP="00896C0C">
      <w:pPr>
        <w:pStyle w:val="ListParagraph"/>
        <w:widowControl/>
        <w:numPr>
          <w:ilvl w:val="3"/>
          <w:numId w:val="1"/>
        </w:numPr>
        <w:ind w:left="2268" w:right="27"/>
        <w:jc w:val="both"/>
        <w:rPr>
          <w:rFonts w:eastAsia="Times New Roman"/>
          <w:szCs w:val="24"/>
        </w:rPr>
      </w:pPr>
      <w:r>
        <w:t xml:space="preserve"> </w:t>
      </w:r>
      <w:r w:rsidR="00C647BD">
        <w:t>Multiplās sklerozes pacientu reģistrā</w:t>
      </w:r>
      <w:r>
        <w:t>;</w:t>
      </w:r>
    </w:p>
    <w:p w14:paraId="45AAA6D1" w14:textId="77777777" w:rsidR="0024664B" w:rsidRPr="0024664B" w:rsidRDefault="0024664B" w:rsidP="0024664B">
      <w:pPr>
        <w:pStyle w:val="ListParagraph"/>
        <w:widowControl/>
        <w:numPr>
          <w:ilvl w:val="0"/>
          <w:numId w:val="7"/>
        </w:numPr>
        <w:ind w:right="27"/>
        <w:jc w:val="both"/>
        <w:rPr>
          <w:rFonts w:eastAsia="Times New Roman"/>
          <w:vanish/>
          <w:szCs w:val="24"/>
        </w:rPr>
      </w:pPr>
    </w:p>
    <w:p w14:paraId="14278E99" w14:textId="77777777" w:rsidR="0024664B" w:rsidRPr="0024664B" w:rsidRDefault="0024664B" w:rsidP="0024664B">
      <w:pPr>
        <w:pStyle w:val="ListParagraph"/>
        <w:widowControl/>
        <w:numPr>
          <w:ilvl w:val="0"/>
          <w:numId w:val="7"/>
        </w:numPr>
        <w:ind w:right="27"/>
        <w:jc w:val="both"/>
        <w:rPr>
          <w:rFonts w:eastAsia="Times New Roman"/>
          <w:vanish/>
          <w:szCs w:val="24"/>
        </w:rPr>
      </w:pPr>
    </w:p>
    <w:p w14:paraId="3D8B20ED" w14:textId="77777777" w:rsidR="0024664B" w:rsidRPr="0024664B" w:rsidRDefault="0024664B" w:rsidP="0024664B">
      <w:pPr>
        <w:pStyle w:val="ListParagraph"/>
        <w:widowControl/>
        <w:numPr>
          <w:ilvl w:val="0"/>
          <w:numId w:val="7"/>
        </w:numPr>
        <w:ind w:right="27"/>
        <w:jc w:val="both"/>
        <w:rPr>
          <w:rFonts w:eastAsia="Times New Roman"/>
          <w:vanish/>
          <w:szCs w:val="24"/>
        </w:rPr>
      </w:pPr>
    </w:p>
    <w:p w14:paraId="130DAA9F" w14:textId="77777777" w:rsidR="0024664B" w:rsidRPr="0024664B" w:rsidRDefault="0024664B" w:rsidP="0024664B">
      <w:pPr>
        <w:pStyle w:val="ListParagraph"/>
        <w:widowControl/>
        <w:numPr>
          <w:ilvl w:val="1"/>
          <w:numId w:val="7"/>
        </w:numPr>
        <w:ind w:right="27"/>
        <w:jc w:val="both"/>
        <w:rPr>
          <w:rFonts w:eastAsia="Times New Roman"/>
          <w:vanish/>
          <w:szCs w:val="24"/>
        </w:rPr>
      </w:pPr>
    </w:p>
    <w:p w14:paraId="45793CA4" w14:textId="77777777" w:rsidR="0024664B" w:rsidRPr="0024664B" w:rsidRDefault="0024664B" w:rsidP="0024664B">
      <w:pPr>
        <w:pStyle w:val="ListParagraph"/>
        <w:widowControl/>
        <w:numPr>
          <w:ilvl w:val="1"/>
          <w:numId w:val="7"/>
        </w:numPr>
        <w:ind w:right="27"/>
        <w:jc w:val="both"/>
        <w:rPr>
          <w:rFonts w:eastAsia="Times New Roman"/>
          <w:vanish/>
          <w:szCs w:val="24"/>
        </w:rPr>
      </w:pPr>
    </w:p>
    <w:p w14:paraId="5A33EEF4" w14:textId="77777777" w:rsidR="0024664B" w:rsidRPr="0024664B" w:rsidRDefault="0024664B" w:rsidP="0024664B">
      <w:pPr>
        <w:pStyle w:val="ListParagraph"/>
        <w:widowControl/>
        <w:numPr>
          <w:ilvl w:val="2"/>
          <w:numId w:val="7"/>
        </w:numPr>
        <w:ind w:right="27"/>
        <w:jc w:val="both"/>
        <w:rPr>
          <w:rFonts w:eastAsia="Times New Roman"/>
          <w:vanish/>
          <w:szCs w:val="24"/>
        </w:rPr>
      </w:pPr>
    </w:p>
    <w:p w14:paraId="298B5901" w14:textId="100C651F" w:rsidR="0024664B" w:rsidRDefault="0024664B" w:rsidP="002C49A5">
      <w:pPr>
        <w:pStyle w:val="ListParagraph"/>
        <w:widowControl/>
        <w:numPr>
          <w:ilvl w:val="2"/>
          <w:numId w:val="1"/>
        </w:numPr>
        <w:ind w:left="1560" w:right="27" w:hanging="709"/>
        <w:jc w:val="both"/>
        <w:rPr>
          <w:rFonts w:eastAsia="Times New Roman"/>
          <w:szCs w:val="24"/>
        </w:rPr>
      </w:pPr>
      <w:r>
        <w:rPr>
          <w:rFonts w:eastAsia="Times New Roman"/>
          <w:szCs w:val="24"/>
        </w:rPr>
        <w:t>par kurām 2021. gada 1. janvārī ir dati SPKC uzturētā:</w:t>
      </w:r>
    </w:p>
    <w:p w14:paraId="47D5D598" w14:textId="786B76D7" w:rsidR="0024664B" w:rsidRPr="00AC259C" w:rsidRDefault="00AC259C" w:rsidP="00896C0C">
      <w:pPr>
        <w:pStyle w:val="ListParagraph"/>
        <w:widowControl/>
        <w:numPr>
          <w:ilvl w:val="3"/>
          <w:numId w:val="1"/>
        </w:numPr>
        <w:ind w:left="2268" w:right="27"/>
        <w:jc w:val="both"/>
      </w:pPr>
      <w:r>
        <w:t xml:space="preserve"> </w:t>
      </w:r>
      <w:r w:rsidR="00C647BD">
        <w:t>HIV pacientu reģistrā</w:t>
      </w:r>
      <w:r w:rsidR="0024664B">
        <w:t>;</w:t>
      </w:r>
    </w:p>
    <w:p w14:paraId="6168E69F" w14:textId="4DBAFD35" w:rsidR="00C647BD" w:rsidRPr="00AC259C" w:rsidRDefault="00AC259C" w:rsidP="00896C0C">
      <w:pPr>
        <w:pStyle w:val="ListParagraph"/>
        <w:widowControl/>
        <w:numPr>
          <w:ilvl w:val="3"/>
          <w:numId w:val="1"/>
        </w:numPr>
        <w:ind w:left="2268" w:right="27"/>
        <w:jc w:val="both"/>
      </w:pPr>
      <w:r>
        <w:t xml:space="preserve"> </w:t>
      </w:r>
      <w:r w:rsidR="00C647BD">
        <w:t>C-hepatīta pacientu reģistrā;</w:t>
      </w:r>
    </w:p>
    <w:p w14:paraId="428F1060" w14:textId="55CCB417" w:rsidR="00896C0C" w:rsidRDefault="0024664B" w:rsidP="002C49A5">
      <w:pPr>
        <w:pStyle w:val="ListParagraph"/>
        <w:widowControl/>
        <w:numPr>
          <w:ilvl w:val="2"/>
          <w:numId w:val="1"/>
        </w:numPr>
        <w:ind w:left="1560" w:right="27" w:hanging="709"/>
        <w:jc w:val="both"/>
        <w:rPr>
          <w:rFonts w:eastAsia="Times New Roman"/>
          <w:szCs w:val="24"/>
        </w:rPr>
      </w:pPr>
      <w:r w:rsidRPr="00896C0C">
        <w:rPr>
          <w:rFonts w:eastAsia="Times New Roman"/>
          <w:szCs w:val="24"/>
        </w:rPr>
        <w:t xml:space="preserve">par </w:t>
      </w:r>
      <w:r w:rsidR="00C647BD" w:rsidRPr="00896C0C">
        <w:rPr>
          <w:rFonts w:eastAsia="Times New Roman"/>
          <w:szCs w:val="24"/>
        </w:rPr>
        <w:t>kur</w:t>
      </w:r>
      <w:r w:rsidRPr="00896C0C">
        <w:rPr>
          <w:rFonts w:eastAsia="Times New Roman"/>
          <w:szCs w:val="24"/>
        </w:rPr>
        <w:t>ām</w:t>
      </w:r>
      <w:r w:rsidR="00C647BD" w:rsidRPr="00896C0C">
        <w:rPr>
          <w:rFonts w:eastAsia="Times New Roman"/>
          <w:szCs w:val="24"/>
        </w:rPr>
        <w:t xml:space="preserve"> laika posmā no 2020. gada 1. janvāra līdz 202</w:t>
      </w:r>
      <w:r w:rsidR="005F2CBA" w:rsidRPr="00896C0C">
        <w:rPr>
          <w:rFonts w:eastAsia="Times New Roman"/>
          <w:szCs w:val="24"/>
        </w:rPr>
        <w:t>0</w:t>
      </w:r>
      <w:r w:rsidR="00C647BD" w:rsidRPr="00896C0C">
        <w:rPr>
          <w:rFonts w:eastAsia="Times New Roman"/>
          <w:szCs w:val="24"/>
        </w:rPr>
        <w:t xml:space="preserve">. gada 31. decembrim </w:t>
      </w:r>
      <w:r w:rsidRPr="00896C0C">
        <w:rPr>
          <w:rFonts w:eastAsia="Times New Roman"/>
          <w:szCs w:val="24"/>
        </w:rPr>
        <w:t xml:space="preserve">ir dati aptiekā </w:t>
      </w:r>
      <w:r w:rsidR="00197BD2">
        <w:rPr>
          <w:rFonts w:eastAsia="Times New Roman"/>
          <w:szCs w:val="24"/>
        </w:rPr>
        <w:t xml:space="preserve">par </w:t>
      </w:r>
      <w:proofErr w:type="spellStart"/>
      <w:r w:rsidR="00BC3624" w:rsidRPr="00896C0C">
        <w:rPr>
          <w:rFonts w:eastAsia="Times New Roman"/>
          <w:szCs w:val="24"/>
        </w:rPr>
        <w:t>atprečotu</w:t>
      </w:r>
      <w:proofErr w:type="spellEnd"/>
      <w:r w:rsidRPr="00896C0C">
        <w:rPr>
          <w:rFonts w:eastAsia="Times New Roman"/>
          <w:szCs w:val="24"/>
        </w:rPr>
        <w:t xml:space="preserve"> </w:t>
      </w:r>
      <w:r w:rsidR="00C647BD" w:rsidRPr="00896C0C">
        <w:rPr>
          <w:rFonts w:eastAsia="Times New Roman"/>
          <w:szCs w:val="24"/>
        </w:rPr>
        <w:t>kompensējamo zāļu recepti;</w:t>
      </w:r>
    </w:p>
    <w:p w14:paraId="69D13715" w14:textId="4CAAD5AB" w:rsidR="005761AD" w:rsidRDefault="0024664B" w:rsidP="002C49A5">
      <w:pPr>
        <w:pStyle w:val="ListParagraph"/>
        <w:widowControl/>
        <w:numPr>
          <w:ilvl w:val="2"/>
          <w:numId w:val="1"/>
        </w:numPr>
        <w:ind w:left="1560" w:right="27" w:hanging="709"/>
        <w:jc w:val="both"/>
        <w:rPr>
          <w:rFonts w:eastAsia="Times New Roman"/>
          <w:szCs w:val="24"/>
        </w:rPr>
      </w:pPr>
      <w:r w:rsidRPr="00896C0C">
        <w:rPr>
          <w:rFonts w:eastAsia="Times New Roman"/>
          <w:szCs w:val="24"/>
        </w:rPr>
        <w:t xml:space="preserve">par kurām </w:t>
      </w:r>
      <w:r w:rsidR="00C647BD" w:rsidRPr="00896C0C">
        <w:rPr>
          <w:rFonts w:eastAsia="Times New Roman"/>
          <w:szCs w:val="24"/>
        </w:rPr>
        <w:t>laika posmā no 2020. gada 1. janvāra līdz 202</w:t>
      </w:r>
      <w:r w:rsidR="005F2CBA" w:rsidRPr="00896C0C">
        <w:rPr>
          <w:rFonts w:eastAsia="Times New Roman"/>
          <w:szCs w:val="24"/>
        </w:rPr>
        <w:t>0</w:t>
      </w:r>
      <w:r w:rsidR="00C647BD" w:rsidRPr="00896C0C">
        <w:rPr>
          <w:rFonts w:eastAsia="Times New Roman"/>
          <w:szCs w:val="24"/>
        </w:rPr>
        <w:t>. gada 3</w:t>
      </w:r>
      <w:r w:rsidR="005F2CBA" w:rsidRPr="00896C0C">
        <w:rPr>
          <w:rFonts w:eastAsia="Times New Roman"/>
          <w:szCs w:val="24"/>
        </w:rPr>
        <w:t>1</w:t>
      </w:r>
      <w:r w:rsidR="00C647BD" w:rsidRPr="00896C0C">
        <w:rPr>
          <w:rFonts w:eastAsia="Times New Roman"/>
          <w:szCs w:val="24"/>
        </w:rPr>
        <w:t xml:space="preserve">. </w:t>
      </w:r>
      <w:r w:rsidR="005F2CBA" w:rsidRPr="00896C0C">
        <w:rPr>
          <w:rFonts w:eastAsia="Times New Roman"/>
          <w:szCs w:val="24"/>
        </w:rPr>
        <w:t>decembrim</w:t>
      </w:r>
      <w:r w:rsidR="00C647BD" w:rsidRPr="00896C0C">
        <w:rPr>
          <w:rFonts w:eastAsia="Times New Roman"/>
          <w:szCs w:val="24"/>
        </w:rPr>
        <w:t xml:space="preserve"> ir </w:t>
      </w:r>
      <w:r w:rsidRPr="00896C0C">
        <w:rPr>
          <w:rFonts w:eastAsia="Times New Roman"/>
          <w:szCs w:val="24"/>
        </w:rPr>
        <w:t>dati par</w:t>
      </w:r>
      <w:r w:rsidR="00C647BD" w:rsidRPr="00896C0C">
        <w:rPr>
          <w:rFonts w:eastAsia="Times New Roman"/>
          <w:szCs w:val="24"/>
        </w:rPr>
        <w:t xml:space="preserve"> hospitalizācij</w:t>
      </w:r>
      <w:r w:rsidRPr="00896C0C">
        <w:rPr>
          <w:rFonts w:eastAsia="Times New Roman"/>
          <w:szCs w:val="24"/>
        </w:rPr>
        <w:t>u</w:t>
      </w:r>
      <w:r w:rsidR="00C647BD" w:rsidRPr="00896C0C">
        <w:rPr>
          <w:rFonts w:eastAsia="Times New Roman"/>
          <w:szCs w:val="24"/>
        </w:rPr>
        <w:t xml:space="preserve"> ar hronisku diagnozi</w:t>
      </w:r>
      <w:r w:rsidR="00AC259C" w:rsidRPr="00896C0C">
        <w:rPr>
          <w:rFonts w:eastAsia="Times New Roman"/>
          <w:szCs w:val="24"/>
        </w:rPr>
        <w:t xml:space="preserve"> </w:t>
      </w:r>
      <w:r w:rsidR="00C647BD">
        <w:rPr>
          <w:rStyle w:val="FootnoteReference"/>
          <w:rFonts w:eastAsia="Times New Roman"/>
          <w:szCs w:val="24"/>
        </w:rPr>
        <w:footnoteReference w:id="1"/>
      </w:r>
      <w:r w:rsidR="00C647BD" w:rsidRPr="00896C0C">
        <w:rPr>
          <w:rFonts w:eastAsia="Times New Roman"/>
          <w:szCs w:val="24"/>
        </w:rPr>
        <w:t>.</w:t>
      </w:r>
    </w:p>
    <w:p w14:paraId="50D3EF1D" w14:textId="77777777" w:rsidR="002C49A5" w:rsidRDefault="002C49A5" w:rsidP="002C49A5">
      <w:pPr>
        <w:pStyle w:val="ListParagraph"/>
        <w:widowControl/>
        <w:ind w:left="1560" w:right="27"/>
        <w:jc w:val="both"/>
        <w:rPr>
          <w:rFonts w:eastAsia="Times New Roman"/>
          <w:szCs w:val="24"/>
        </w:rPr>
      </w:pPr>
    </w:p>
    <w:p w14:paraId="46A36CC2" w14:textId="40948F87" w:rsidR="004420C3" w:rsidRPr="002C49A5" w:rsidRDefault="004420C3" w:rsidP="002C49A5">
      <w:pPr>
        <w:pStyle w:val="ListParagraph"/>
        <w:widowControl/>
        <w:numPr>
          <w:ilvl w:val="0"/>
          <w:numId w:val="1"/>
        </w:numPr>
        <w:ind w:right="27"/>
        <w:jc w:val="both"/>
        <w:rPr>
          <w:rFonts w:eastAsia="Times New Roman"/>
          <w:szCs w:val="24"/>
        </w:rPr>
      </w:pPr>
      <w:r w:rsidRPr="002C49A5">
        <w:rPr>
          <w:rFonts w:eastAsia="Times New Roman"/>
          <w:szCs w:val="24"/>
        </w:rPr>
        <w:t>DIENESTS aprēķina un veic samaksu IZPILDĪT</w:t>
      </w:r>
      <w:r w:rsidR="002C49A5">
        <w:rPr>
          <w:rFonts w:eastAsia="Times New Roman"/>
          <w:szCs w:val="24"/>
        </w:rPr>
        <w:t>Ā</w:t>
      </w:r>
      <w:r w:rsidRPr="002C49A5">
        <w:rPr>
          <w:rFonts w:eastAsia="Times New Roman"/>
          <w:szCs w:val="24"/>
        </w:rPr>
        <w:t>JAM, atbilstoši šī pielikuma 1.</w:t>
      </w:r>
      <w:r w:rsidR="002C49A5" w:rsidRPr="002C49A5">
        <w:rPr>
          <w:rFonts w:eastAsia="Times New Roman"/>
          <w:szCs w:val="24"/>
        </w:rPr>
        <w:t>2</w:t>
      </w:r>
      <w:r w:rsidRPr="002C49A5">
        <w:rPr>
          <w:rFonts w:eastAsia="Times New Roman"/>
          <w:szCs w:val="24"/>
        </w:rPr>
        <w:t>. punktā noteiktajam, par sasniegtajiem Covid-19 vakcinācijas aptveres rādītājiem  par praksē reģistrētām:</w:t>
      </w:r>
    </w:p>
    <w:p w14:paraId="701D0320" w14:textId="2FC24157" w:rsidR="004420C3" w:rsidRDefault="004420C3" w:rsidP="002C49A5">
      <w:pPr>
        <w:pStyle w:val="ListParagraph"/>
        <w:widowControl/>
        <w:numPr>
          <w:ilvl w:val="1"/>
          <w:numId w:val="1"/>
        </w:numPr>
        <w:ind w:right="27"/>
        <w:jc w:val="both"/>
        <w:rPr>
          <w:rFonts w:eastAsia="Times New Roman"/>
          <w:szCs w:val="24"/>
        </w:rPr>
      </w:pPr>
      <w:r>
        <w:rPr>
          <w:rFonts w:eastAsia="Times New Roman"/>
          <w:szCs w:val="24"/>
        </w:rPr>
        <w:t xml:space="preserve">personām, kuras  </w:t>
      </w:r>
      <w:r w:rsidRPr="005F2CBA">
        <w:rPr>
          <w:rFonts w:eastAsia="Times New Roman"/>
          <w:szCs w:val="24"/>
        </w:rPr>
        <w:t xml:space="preserve">2021. gada 1. </w:t>
      </w:r>
      <w:r>
        <w:rPr>
          <w:rFonts w:eastAsia="Times New Roman"/>
          <w:szCs w:val="24"/>
        </w:rPr>
        <w:t xml:space="preserve">janvāri ir vecākas par </w:t>
      </w:r>
      <w:r w:rsidRPr="002B122A">
        <w:rPr>
          <w:rFonts w:eastAsia="Times New Roman"/>
          <w:szCs w:val="24"/>
        </w:rPr>
        <w:t xml:space="preserve"> </w:t>
      </w:r>
      <w:r>
        <w:rPr>
          <w:rFonts w:eastAsia="Times New Roman"/>
          <w:szCs w:val="24"/>
        </w:rPr>
        <w:t>12</w:t>
      </w:r>
      <w:r w:rsidRPr="002B122A">
        <w:rPr>
          <w:rFonts w:eastAsia="Times New Roman"/>
          <w:szCs w:val="24"/>
        </w:rPr>
        <w:t xml:space="preserve"> gadiem</w:t>
      </w:r>
      <w:r>
        <w:rPr>
          <w:rFonts w:eastAsia="Times New Roman"/>
          <w:szCs w:val="24"/>
        </w:rPr>
        <w:t>;</w:t>
      </w:r>
    </w:p>
    <w:p w14:paraId="4A5184B7" w14:textId="28D09E37" w:rsidR="00B3667A" w:rsidRPr="004420C3" w:rsidRDefault="00B3667A" w:rsidP="002C49A5">
      <w:pPr>
        <w:pStyle w:val="ListParagraph"/>
        <w:widowControl/>
        <w:numPr>
          <w:ilvl w:val="1"/>
          <w:numId w:val="1"/>
        </w:numPr>
        <w:ind w:right="27"/>
        <w:jc w:val="both"/>
        <w:rPr>
          <w:rFonts w:eastAsia="Times New Roman"/>
          <w:szCs w:val="24"/>
        </w:rPr>
      </w:pPr>
      <w:r>
        <w:rPr>
          <w:rFonts w:eastAsia="Times New Roman"/>
          <w:szCs w:val="24"/>
        </w:rPr>
        <w:t xml:space="preserve">izņemot personas, kuras ir atrunātas </w:t>
      </w:r>
      <w:r w:rsidR="002C49A5">
        <w:rPr>
          <w:rFonts w:eastAsia="Times New Roman"/>
          <w:szCs w:val="24"/>
        </w:rPr>
        <w:t>4</w:t>
      </w:r>
      <w:r>
        <w:rPr>
          <w:rFonts w:eastAsia="Times New Roman"/>
          <w:szCs w:val="24"/>
        </w:rPr>
        <w:t>. punktā</w:t>
      </w:r>
      <w:r w:rsidR="00197BD2">
        <w:rPr>
          <w:rFonts w:eastAsia="Times New Roman"/>
          <w:szCs w:val="24"/>
        </w:rPr>
        <w:t>.</w:t>
      </w:r>
    </w:p>
    <w:p w14:paraId="6D5F7A39" w14:textId="77777777" w:rsidR="00D56D5A" w:rsidRPr="00D56D5A" w:rsidRDefault="00D56D5A" w:rsidP="00D56D5A">
      <w:pPr>
        <w:widowControl/>
        <w:ind w:left="284" w:right="27"/>
        <w:jc w:val="both"/>
        <w:rPr>
          <w:rFonts w:eastAsia="Times New Roman"/>
          <w:szCs w:val="24"/>
        </w:rPr>
      </w:pPr>
    </w:p>
    <w:p w14:paraId="527337F5" w14:textId="1E3EF133" w:rsidR="001B1A68" w:rsidRPr="001B1A68" w:rsidRDefault="005761AD" w:rsidP="002C49A5">
      <w:pPr>
        <w:pStyle w:val="ListParagraph"/>
        <w:widowControl/>
        <w:numPr>
          <w:ilvl w:val="0"/>
          <w:numId w:val="1"/>
        </w:numPr>
        <w:ind w:right="27"/>
        <w:jc w:val="both"/>
        <w:rPr>
          <w:rFonts w:eastAsia="Times New Roman"/>
          <w:szCs w:val="24"/>
        </w:rPr>
      </w:pPr>
      <w:r>
        <w:rPr>
          <w:rFonts w:eastAsia="Times New Roman"/>
          <w:szCs w:val="24"/>
        </w:rPr>
        <w:t>Aptvere tiek noteikta dalot</w:t>
      </w:r>
      <w:r w:rsidR="00AC259C">
        <w:rPr>
          <w:rFonts w:eastAsia="Times New Roman"/>
          <w:szCs w:val="24"/>
        </w:rPr>
        <w:t xml:space="preserve"> </w:t>
      </w:r>
      <w:r>
        <w:rPr>
          <w:rFonts w:eastAsia="Times New Roman"/>
          <w:szCs w:val="24"/>
        </w:rPr>
        <w:t xml:space="preserve">vakcinācijas pret Covid-19 </w:t>
      </w:r>
      <w:r w:rsidR="00BC3624">
        <w:rPr>
          <w:rFonts w:eastAsia="Times New Roman"/>
          <w:szCs w:val="24"/>
        </w:rPr>
        <w:t xml:space="preserve">pilnu </w:t>
      </w:r>
      <w:r>
        <w:rPr>
          <w:rFonts w:eastAsia="Times New Roman"/>
          <w:szCs w:val="24"/>
        </w:rPr>
        <w:t xml:space="preserve">kursu </w:t>
      </w:r>
      <w:r w:rsidR="001B1A68">
        <w:rPr>
          <w:rFonts w:eastAsia="Times New Roman"/>
          <w:szCs w:val="24"/>
        </w:rPr>
        <w:t xml:space="preserve"> </w:t>
      </w:r>
      <w:r>
        <w:rPr>
          <w:rFonts w:eastAsia="Times New Roman"/>
          <w:szCs w:val="24"/>
        </w:rPr>
        <w:t>saņēmušo personu skaitu pret</w:t>
      </w:r>
      <w:r w:rsidR="001B1A68">
        <w:rPr>
          <w:rFonts w:eastAsia="Times New Roman"/>
          <w:szCs w:val="24"/>
        </w:rPr>
        <w:t xml:space="preserve"> noteiktās mērķa grupas pacientu skaitu, kuri vērtējuma periodā </w:t>
      </w:r>
      <w:r>
        <w:rPr>
          <w:rFonts w:eastAsia="Times New Roman"/>
          <w:szCs w:val="24"/>
        </w:rPr>
        <w:t xml:space="preserve">līdz  </w:t>
      </w:r>
      <w:r w:rsidRPr="00FC6770">
        <w:rPr>
          <w:rFonts w:eastAsia="Times New Roman"/>
          <w:szCs w:val="24"/>
        </w:rPr>
        <w:t>20</w:t>
      </w:r>
      <w:r w:rsidR="002C49A5" w:rsidRPr="00FC6770">
        <w:rPr>
          <w:rFonts w:eastAsia="Times New Roman"/>
          <w:szCs w:val="24"/>
        </w:rPr>
        <w:t>21</w:t>
      </w:r>
      <w:r w:rsidRPr="00FC6770">
        <w:rPr>
          <w:rFonts w:eastAsia="Times New Roman"/>
          <w:szCs w:val="24"/>
        </w:rPr>
        <w:t xml:space="preserve">. gada </w:t>
      </w:r>
      <w:r w:rsidR="00FC6770" w:rsidRPr="00FC6770">
        <w:rPr>
          <w:rFonts w:eastAsia="Times New Roman"/>
          <w:szCs w:val="24"/>
        </w:rPr>
        <w:t xml:space="preserve">30. septembrim </w:t>
      </w:r>
      <w:r w:rsidR="004420C3" w:rsidRPr="00FC6770">
        <w:rPr>
          <w:rFonts w:eastAsia="Times New Roman"/>
          <w:szCs w:val="24"/>
        </w:rPr>
        <w:t>un attiecīgi 31. decembrim</w:t>
      </w:r>
      <w:r w:rsidRPr="00FC6770">
        <w:rPr>
          <w:rFonts w:eastAsia="Times New Roman"/>
          <w:szCs w:val="24"/>
        </w:rPr>
        <w:t xml:space="preserve"> </w:t>
      </w:r>
      <w:r w:rsidR="001B1A68" w:rsidRPr="00FC6770">
        <w:rPr>
          <w:rFonts w:eastAsia="Times New Roman"/>
          <w:szCs w:val="24"/>
        </w:rPr>
        <w:t>bija reģistrēti pie ģimenes ārsta</w:t>
      </w:r>
      <w:r w:rsidRPr="00FC6770">
        <w:rPr>
          <w:rFonts w:eastAsia="Times New Roman"/>
          <w:szCs w:val="24"/>
        </w:rPr>
        <w:t xml:space="preserve"> visu vērtējamo periodu</w:t>
      </w:r>
      <w:r w:rsidR="00DA02A7" w:rsidRPr="00FC6770">
        <w:rPr>
          <w:rFonts w:eastAsia="Times New Roman"/>
          <w:szCs w:val="24"/>
          <w:vertAlign w:val="superscript"/>
        </w:rPr>
        <w:t>2</w:t>
      </w:r>
      <w:r w:rsidR="00BC3624" w:rsidRPr="00FC6770">
        <w:rPr>
          <w:rFonts w:eastAsia="Times New Roman"/>
          <w:szCs w:val="24"/>
        </w:rPr>
        <w:t>,</w:t>
      </w:r>
      <w:r w:rsidRPr="00FC6770">
        <w:rPr>
          <w:rFonts w:eastAsia="Times New Roman"/>
          <w:szCs w:val="24"/>
        </w:rPr>
        <w:t xml:space="preserve"> nav miruši, nesaņemot vakcināciju pret Covid-19</w:t>
      </w:r>
      <w:r w:rsidR="00DA02A7" w:rsidRPr="00FC6770">
        <w:rPr>
          <w:rFonts w:eastAsia="Times New Roman"/>
          <w:szCs w:val="24"/>
        </w:rPr>
        <w:t>,</w:t>
      </w:r>
      <w:r w:rsidR="00BC3624" w:rsidRPr="00FC6770">
        <w:rPr>
          <w:rFonts w:eastAsia="Times New Roman"/>
          <w:szCs w:val="24"/>
        </w:rPr>
        <w:t xml:space="preserve"> nav statusā “bloķēti</w:t>
      </w:r>
      <w:r w:rsidR="00BC3624">
        <w:rPr>
          <w:rFonts w:eastAsia="Times New Roman"/>
          <w:szCs w:val="24"/>
        </w:rPr>
        <w:t>”</w:t>
      </w:r>
      <w:r w:rsidR="00DA02A7">
        <w:rPr>
          <w:rFonts w:eastAsia="Times New Roman"/>
          <w:szCs w:val="24"/>
        </w:rPr>
        <w:t xml:space="preserve"> un neatbilst pacientu grupai, kurai pēc ārstu konsīlija lēmuma</w:t>
      </w:r>
      <w:r w:rsidR="00DA02A7" w:rsidRPr="00A75B82">
        <w:rPr>
          <w:szCs w:val="24"/>
          <w:shd w:val="clear" w:color="auto" w:fill="FFFFFF"/>
        </w:rPr>
        <w:t xml:space="preserve"> noteiktas kontrindikācijas vakcinācijai pret Covid-</w:t>
      </w:r>
      <w:r w:rsidR="00DA02A7">
        <w:rPr>
          <w:szCs w:val="24"/>
          <w:shd w:val="clear" w:color="auto" w:fill="FFFFFF"/>
        </w:rPr>
        <w:t>1</w:t>
      </w:r>
      <w:r w:rsidR="00DA02A7" w:rsidRPr="00A75B82">
        <w:rPr>
          <w:szCs w:val="24"/>
          <w:shd w:val="clear" w:color="auto" w:fill="FFFFFF"/>
        </w:rPr>
        <w:t>9</w:t>
      </w:r>
      <w:r w:rsidR="00BC3624">
        <w:rPr>
          <w:rFonts w:eastAsia="Times New Roman"/>
          <w:szCs w:val="24"/>
        </w:rPr>
        <w:t xml:space="preserve"> </w:t>
      </w:r>
      <w:r>
        <w:rPr>
          <w:rFonts w:eastAsia="Times New Roman"/>
          <w:szCs w:val="24"/>
        </w:rPr>
        <w:t>un reizinot ar 100</w:t>
      </w:r>
      <w:r w:rsidR="00E41A2E">
        <w:rPr>
          <w:rFonts w:eastAsia="Times New Roman"/>
          <w:szCs w:val="24"/>
        </w:rPr>
        <w:t xml:space="preserve">. </w:t>
      </w:r>
    </w:p>
    <w:p w14:paraId="17025123" w14:textId="1E5AFFD1" w:rsidR="00B86815" w:rsidRDefault="00B86815" w:rsidP="00B86815">
      <w:pPr>
        <w:jc w:val="both"/>
        <w:outlineLvl w:val="0"/>
        <w:rPr>
          <w:szCs w:val="24"/>
        </w:rPr>
      </w:pPr>
    </w:p>
    <w:p w14:paraId="54BDEC97" w14:textId="705E28F3" w:rsidR="00B86815" w:rsidRPr="00AC259C" w:rsidRDefault="00B86815" w:rsidP="002C49A5">
      <w:pPr>
        <w:pStyle w:val="ListParagraph"/>
        <w:numPr>
          <w:ilvl w:val="0"/>
          <w:numId w:val="1"/>
        </w:numPr>
        <w:jc w:val="both"/>
        <w:outlineLvl w:val="0"/>
        <w:rPr>
          <w:szCs w:val="24"/>
        </w:rPr>
      </w:pPr>
      <w:r>
        <w:rPr>
          <w:rFonts w:eastAsia="Times New Roman"/>
          <w:szCs w:val="24"/>
        </w:rPr>
        <w:t>DIENESTS</w:t>
      </w:r>
      <w:r w:rsidR="00147CCF">
        <w:rPr>
          <w:rFonts w:eastAsia="Times New Roman"/>
          <w:szCs w:val="24"/>
        </w:rPr>
        <w:t xml:space="preserve"> līdz</w:t>
      </w:r>
      <w:r>
        <w:rPr>
          <w:rFonts w:eastAsia="Times New Roman"/>
          <w:szCs w:val="24"/>
        </w:rPr>
        <w:t xml:space="preserve"> 2021. gada</w:t>
      </w:r>
      <w:r w:rsidR="00147CCF">
        <w:rPr>
          <w:rFonts w:eastAsia="Times New Roman"/>
          <w:szCs w:val="24"/>
        </w:rPr>
        <w:t xml:space="preserve"> 1.j</w:t>
      </w:r>
      <w:r w:rsidR="00752655">
        <w:rPr>
          <w:rFonts w:eastAsia="Times New Roman"/>
          <w:szCs w:val="24"/>
        </w:rPr>
        <w:t>ūlijam, 15. augustam</w:t>
      </w:r>
      <w:r w:rsidR="004101EE">
        <w:rPr>
          <w:rFonts w:eastAsia="Times New Roman"/>
          <w:szCs w:val="24"/>
        </w:rPr>
        <w:t>,</w:t>
      </w:r>
      <w:r w:rsidR="00752655">
        <w:rPr>
          <w:rFonts w:eastAsia="Times New Roman"/>
          <w:szCs w:val="24"/>
        </w:rPr>
        <w:t xml:space="preserve"> 15. septembrim</w:t>
      </w:r>
      <w:r w:rsidR="004420C3">
        <w:rPr>
          <w:rFonts w:eastAsia="Times New Roman"/>
          <w:szCs w:val="24"/>
        </w:rPr>
        <w:t>, 15. oktobrim, 15. novembrim un 15. decembrim</w:t>
      </w:r>
      <w:r>
        <w:rPr>
          <w:rFonts w:eastAsia="Times New Roman"/>
          <w:szCs w:val="24"/>
        </w:rPr>
        <w:t xml:space="preserve">  </w:t>
      </w:r>
      <w:r w:rsidR="003737E6">
        <w:rPr>
          <w:rFonts w:eastAsia="Times New Roman"/>
          <w:szCs w:val="24"/>
        </w:rPr>
        <w:t>IZPILDĪT</w:t>
      </w:r>
      <w:r w:rsidR="00E41A2E">
        <w:rPr>
          <w:rFonts w:eastAsia="Times New Roman"/>
          <w:szCs w:val="24"/>
        </w:rPr>
        <w:t>Ā</w:t>
      </w:r>
      <w:r w:rsidR="003737E6">
        <w:rPr>
          <w:rFonts w:eastAsia="Times New Roman"/>
          <w:szCs w:val="24"/>
        </w:rPr>
        <w:t xml:space="preserve">JAM </w:t>
      </w:r>
      <w:proofErr w:type="spellStart"/>
      <w:r>
        <w:rPr>
          <w:rFonts w:eastAsia="Times New Roman"/>
          <w:szCs w:val="24"/>
        </w:rPr>
        <w:t>izsūt</w:t>
      </w:r>
      <w:r w:rsidR="003737E6">
        <w:rPr>
          <w:rFonts w:eastAsia="Times New Roman"/>
          <w:szCs w:val="24"/>
        </w:rPr>
        <w:t>a</w:t>
      </w:r>
      <w:proofErr w:type="spellEnd"/>
      <w:r>
        <w:rPr>
          <w:rFonts w:eastAsia="Times New Roman"/>
          <w:szCs w:val="24"/>
        </w:rPr>
        <w:t xml:space="preserve"> sarakstu ar </w:t>
      </w:r>
      <w:r w:rsidR="003737E6">
        <w:rPr>
          <w:rFonts w:eastAsia="Times New Roman"/>
          <w:szCs w:val="24"/>
        </w:rPr>
        <w:t xml:space="preserve"> </w:t>
      </w:r>
      <w:r w:rsidR="00E41A2E">
        <w:rPr>
          <w:rFonts w:eastAsia="Times New Roman"/>
          <w:szCs w:val="24"/>
        </w:rPr>
        <w:t xml:space="preserve">praksē </w:t>
      </w:r>
      <w:r w:rsidR="003737E6">
        <w:rPr>
          <w:rFonts w:eastAsia="Times New Roman"/>
          <w:szCs w:val="24"/>
        </w:rPr>
        <w:t>re</w:t>
      </w:r>
      <w:r w:rsidR="00E41A2E">
        <w:rPr>
          <w:rFonts w:eastAsia="Times New Roman"/>
          <w:szCs w:val="24"/>
        </w:rPr>
        <w:t>ģ</w:t>
      </w:r>
      <w:r w:rsidR="003737E6">
        <w:rPr>
          <w:rFonts w:eastAsia="Times New Roman"/>
          <w:szCs w:val="24"/>
        </w:rPr>
        <w:t xml:space="preserve">istrētām </w:t>
      </w:r>
      <w:r>
        <w:rPr>
          <w:rFonts w:eastAsia="Times New Roman"/>
          <w:szCs w:val="24"/>
        </w:rPr>
        <w:t>personām</w:t>
      </w:r>
      <w:r w:rsidR="00E41A2E">
        <w:rPr>
          <w:rFonts w:eastAsia="Times New Roman"/>
          <w:szCs w:val="24"/>
        </w:rPr>
        <w:t xml:space="preserve"> un to vakcinācijas statusu, papildus </w:t>
      </w:r>
      <w:r w:rsidR="003737E6">
        <w:rPr>
          <w:rFonts w:eastAsia="Times New Roman"/>
          <w:szCs w:val="24"/>
        </w:rPr>
        <w:t>norād</w:t>
      </w:r>
      <w:r w:rsidR="00E41A2E">
        <w:rPr>
          <w:rFonts w:eastAsia="Times New Roman"/>
          <w:szCs w:val="24"/>
        </w:rPr>
        <w:t xml:space="preserve">ot personas atbilstību </w:t>
      </w:r>
      <w:r w:rsidR="002C49A5">
        <w:rPr>
          <w:rFonts w:eastAsia="Times New Roman"/>
          <w:szCs w:val="24"/>
        </w:rPr>
        <w:t>4</w:t>
      </w:r>
      <w:r w:rsidR="003737E6">
        <w:rPr>
          <w:rFonts w:eastAsia="Times New Roman"/>
          <w:szCs w:val="24"/>
        </w:rPr>
        <w:t>.</w:t>
      </w:r>
      <w:r w:rsidR="004420C3">
        <w:rPr>
          <w:rFonts w:eastAsia="Times New Roman"/>
          <w:szCs w:val="24"/>
        </w:rPr>
        <w:t xml:space="preserve"> un </w:t>
      </w:r>
      <w:r w:rsidR="002C49A5">
        <w:rPr>
          <w:rFonts w:eastAsia="Times New Roman"/>
          <w:szCs w:val="24"/>
        </w:rPr>
        <w:t>5</w:t>
      </w:r>
      <w:r w:rsidR="004420C3">
        <w:rPr>
          <w:rFonts w:eastAsia="Times New Roman"/>
          <w:szCs w:val="24"/>
        </w:rPr>
        <w:t xml:space="preserve">. </w:t>
      </w:r>
      <w:r w:rsidR="003737E6">
        <w:rPr>
          <w:rFonts w:eastAsia="Times New Roman"/>
          <w:szCs w:val="24"/>
        </w:rPr>
        <w:t>punktā noteiktiem nosacījumiem</w:t>
      </w:r>
      <w:r w:rsidR="00BC3624" w:rsidRPr="00BC3624">
        <w:rPr>
          <w:szCs w:val="24"/>
        </w:rPr>
        <w:t xml:space="preserve"> </w:t>
      </w:r>
      <w:r w:rsidR="00BC3624" w:rsidRPr="00360682">
        <w:rPr>
          <w:szCs w:val="24"/>
        </w:rPr>
        <w:t>elektroniski uz līguma norādīto elektroniskā pasta adresi</w:t>
      </w:r>
      <w:r w:rsidR="00BC3624">
        <w:rPr>
          <w:szCs w:val="24"/>
        </w:rPr>
        <w:t xml:space="preserve"> šifrētā veidā un datnes paroli </w:t>
      </w:r>
      <w:proofErr w:type="spellStart"/>
      <w:r w:rsidR="00BC3624">
        <w:rPr>
          <w:szCs w:val="24"/>
        </w:rPr>
        <w:t>nosūt</w:t>
      </w:r>
      <w:r w:rsidR="00942035">
        <w:rPr>
          <w:szCs w:val="24"/>
        </w:rPr>
        <w:t>a</w:t>
      </w:r>
      <w:proofErr w:type="spellEnd"/>
      <w:r w:rsidR="00BC3624">
        <w:rPr>
          <w:szCs w:val="24"/>
        </w:rPr>
        <w:t xml:space="preserve"> uz izpildītāja līgumā norād</w:t>
      </w:r>
      <w:r w:rsidR="00942035">
        <w:rPr>
          <w:szCs w:val="24"/>
        </w:rPr>
        <w:t>ī</w:t>
      </w:r>
      <w:r w:rsidR="00BC3624">
        <w:rPr>
          <w:szCs w:val="24"/>
        </w:rPr>
        <w:t>to mobilā tālruņa nu</w:t>
      </w:r>
      <w:r w:rsidR="00942035">
        <w:rPr>
          <w:szCs w:val="24"/>
        </w:rPr>
        <w:t>m</w:t>
      </w:r>
      <w:r w:rsidR="00BC3624">
        <w:rPr>
          <w:szCs w:val="24"/>
        </w:rPr>
        <w:t>uru</w:t>
      </w:r>
      <w:r w:rsidR="00942035">
        <w:rPr>
          <w:szCs w:val="24"/>
        </w:rPr>
        <w:t xml:space="preserve"> saziņai ar DIENESTU</w:t>
      </w:r>
      <w:r w:rsidR="00BC3624" w:rsidRPr="00360682">
        <w:rPr>
          <w:szCs w:val="24"/>
        </w:rPr>
        <w:t>.</w:t>
      </w:r>
    </w:p>
    <w:p w14:paraId="07FA8226" w14:textId="77777777" w:rsidR="00B86815" w:rsidRPr="00865E12" w:rsidRDefault="00B86815" w:rsidP="00B86815">
      <w:pPr>
        <w:pStyle w:val="ListParagraph"/>
        <w:widowControl/>
        <w:ind w:left="360" w:right="27"/>
        <w:jc w:val="both"/>
        <w:rPr>
          <w:rFonts w:eastAsia="Times New Roman"/>
          <w:szCs w:val="24"/>
        </w:rPr>
      </w:pPr>
    </w:p>
    <w:p w14:paraId="79308928" w14:textId="6755D7BA" w:rsidR="00B86815" w:rsidRDefault="00D56D5A" w:rsidP="002C49A5">
      <w:pPr>
        <w:pStyle w:val="ListParagraph"/>
        <w:numPr>
          <w:ilvl w:val="0"/>
          <w:numId w:val="1"/>
        </w:numPr>
        <w:jc w:val="both"/>
        <w:outlineLvl w:val="0"/>
        <w:rPr>
          <w:szCs w:val="24"/>
        </w:rPr>
      </w:pPr>
      <w:r>
        <w:rPr>
          <w:szCs w:val="24"/>
        </w:rPr>
        <w:t>DIENESTS</w:t>
      </w:r>
      <w:r w:rsidR="00BC3624">
        <w:rPr>
          <w:szCs w:val="24"/>
        </w:rPr>
        <w:t xml:space="preserve"> </w:t>
      </w:r>
      <w:proofErr w:type="spellStart"/>
      <w:r>
        <w:rPr>
          <w:szCs w:val="24"/>
        </w:rPr>
        <w:t>nosūt</w:t>
      </w:r>
      <w:r w:rsidR="002C49A5">
        <w:rPr>
          <w:szCs w:val="24"/>
        </w:rPr>
        <w:t>a</w:t>
      </w:r>
      <w:proofErr w:type="spellEnd"/>
      <w:r>
        <w:rPr>
          <w:szCs w:val="24"/>
        </w:rPr>
        <w:t xml:space="preserve"> </w:t>
      </w:r>
      <w:r w:rsidR="00BC3624">
        <w:rPr>
          <w:szCs w:val="24"/>
        </w:rPr>
        <w:t>IZPILDĪTĀJAM informāciju par sasniegto aptveres rādītāju</w:t>
      </w:r>
      <w:r w:rsidR="0034190F">
        <w:rPr>
          <w:szCs w:val="24"/>
        </w:rPr>
        <w:t xml:space="preserve"> uz</w:t>
      </w:r>
      <w:r w:rsidR="00BC3624">
        <w:rPr>
          <w:szCs w:val="24"/>
        </w:rPr>
        <w:t xml:space="preserve"> </w:t>
      </w:r>
      <w:r w:rsidR="00BC3624" w:rsidRPr="00FC6770">
        <w:rPr>
          <w:szCs w:val="24"/>
        </w:rPr>
        <w:t xml:space="preserve">2021. gada </w:t>
      </w:r>
      <w:r w:rsidR="00FC6770" w:rsidRPr="00FC6770">
        <w:rPr>
          <w:szCs w:val="24"/>
        </w:rPr>
        <w:t xml:space="preserve">30. septembri </w:t>
      </w:r>
      <w:r w:rsidR="00BC3624" w:rsidRPr="00FC6770">
        <w:rPr>
          <w:szCs w:val="24"/>
        </w:rPr>
        <w:t>un veikt</w:t>
      </w:r>
      <w:r w:rsidR="0034190F" w:rsidRPr="00FC6770">
        <w:rPr>
          <w:szCs w:val="24"/>
        </w:rPr>
        <w:t>ā</w:t>
      </w:r>
      <w:r w:rsidR="00BC3624" w:rsidRPr="00FC6770">
        <w:rPr>
          <w:szCs w:val="24"/>
        </w:rPr>
        <w:t xml:space="preserve"> maksājuma aprēķina apmēru, norādot vakcinēto personu skaitu,  un </w:t>
      </w:r>
      <w:r w:rsidR="000F79E1" w:rsidRPr="00FC6770">
        <w:rPr>
          <w:szCs w:val="24"/>
        </w:rPr>
        <w:t>sasniegto aptveres % aprēķinu</w:t>
      </w:r>
      <w:r w:rsidR="00BC3624" w:rsidRPr="00FC6770">
        <w:rPr>
          <w:szCs w:val="24"/>
        </w:rPr>
        <w:t>, līdz 202</w:t>
      </w:r>
      <w:r w:rsidR="004420C3" w:rsidRPr="00FC6770">
        <w:rPr>
          <w:szCs w:val="24"/>
        </w:rPr>
        <w:t>1</w:t>
      </w:r>
      <w:r w:rsidR="00BC3624" w:rsidRPr="00FC6770">
        <w:rPr>
          <w:szCs w:val="24"/>
        </w:rPr>
        <w:t xml:space="preserve"> gada 30. oktobrim</w:t>
      </w:r>
      <w:r w:rsidR="004420C3" w:rsidRPr="00FC6770">
        <w:rPr>
          <w:szCs w:val="24"/>
        </w:rPr>
        <w:t xml:space="preserve"> </w:t>
      </w:r>
      <w:r w:rsidR="00BC3624" w:rsidRPr="00FC6770">
        <w:rPr>
          <w:szCs w:val="24"/>
        </w:rPr>
        <w:t>elektroniski</w:t>
      </w:r>
      <w:r w:rsidR="00BC3624" w:rsidRPr="00AC259C">
        <w:rPr>
          <w:szCs w:val="24"/>
        </w:rPr>
        <w:t xml:space="preserve"> uz līguma norādīto elektroniskā pasta adresi.</w:t>
      </w:r>
    </w:p>
    <w:p w14:paraId="4C5506FC" w14:textId="77777777" w:rsidR="0034190F" w:rsidRPr="0034190F" w:rsidRDefault="0034190F" w:rsidP="0034190F">
      <w:pPr>
        <w:pStyle w:val="ListParagraph"/>
        <w:rPr>
          <w:szCs w:val="24"/>
        </w:rPr>
      </w:pPr>
    </w:p>
    <w:p w14:paraId="0660D842" w14:textId="1FD6724A" w:rsidR="0034190F" w:rsidRPr="00AC259C" w:rsidRDefault="0034190F" w:rsidP="002C49A5">
      <w:pPr>
        <w:pStyle w:val="ListParagraph"/>
        <w:numPr>
          <w:ilvl w:val="0"/>
          <w:numId w:val="1"/>
        </w:numPr>
        <w:jc w:val="both"/>
        <w:outlineLvl w:val="0"/>
        <w:rPr>
          <w:szCs w:val="24"/>
        </w:rPr>
      </w:pPr>
      <w:r>
        <w:rPr>
          <w:szCs w:val="24"/>
        </w:rPr>
        <w:t xml:space="preserve">DIENESTS </w:t>
      </w:r>
      <w:proofErr w:type="spellStart"/>
      <w:r>
        <w:rPr>
          <w:szCs w:val="24"/>
        </w:rPr>
        <w:t>nosūt</w:t>
      </w:r>
      <w:r w:rsidR="002C49A5">
        <w:rPr>
          <w:szCs w:val="24"/>
        </w:rPr>
        <w:t>a</w:t>
      </w:r>
      <w:proofErr w:type="spellEnd"/>
      <w:r>
        <w:rPr>
          <w:szCs w:val="24"/>
        </w:rPr>
        <w:t xml:space="preserve"> IZPILDĪTĀJAM informāciju par sasniegto aptveres rādītāju uz 2021. gada 31. decembri un veiktā maksājuma aprēķina apmēru, atņemot </w:t>
      </w:r>
      <w:r w:rsidR="002C49A5">
        <w:rPr>
          <w:szCs w:val="24"/>
        </w:rPr>
        <w:t>8</w:t>
      </w:r>
      <w:r>
        <w:rPr>
          <w:szCs w:val="24"/>
        </w:rPr>
        <w:t xml:space="preserve">.punktā aprēķināto </w:t>
      </w:r>
      <w:r>
        <w:rPr>
          <w:szCs w:val="24"/>
        </w:rPr>
        <w:lastRenderedPageBreak/>
        <w:t xml:space="preserve">maksājuma apmēru, norādot vakcinēto personu skaitu,  un sasniegto aptveres % aprēķinu, </w:t>
      </w:r>
      <w:r w:rsidRPr="00AC259C">
        <w:rPr>
          <w:szCs w:val="24"/>
        </w:rPr>
        <w:t>līdz 202</w:t>
      </w:r>
      <w:r>
        <w:rPr>
          <w:szCs w:val="24"/>
        </w:rPr>
        <w:t>2.</w:t>
      </w:r>
      <w:r w:rsidRPr="00AC259C">
        <w:rPr>
          <w:szCs w:val="24"/>
        </w:rPr>
        <w:t xml:space="preserve"> gada 3</w:t>
      </w:r>
      <w:r>
        <w:rPr>
          <w:szCs w:val="24"/>
        </w:rPr>
        <w:t>1</w:t>
      </w:r>
      <w:r w:rsidRPr="00AC259C">
        <w:rPr>
          <w:szCs w:val="24"/>
        </w:rPr>
        <w:t xml:space="preserve">. </w:t>
      </w:r>
      <w:r>
        <w:rPr>
          <w:szCs w:val="24"/>
        </w:rPr>
        <w:t xml:space="preserve">janvārim </w:t>
      </w:r>
      <w:r w:rsidRPr="00AC259C">
        <w:rPr>
          <w:szCs w:val="24"/>
        </w:rPr>
        <w:t>elektroniski uz līguma norādīto elektroniskā pasta adresi.</w:t>
      </w:r>
    </w:p>
    <w:p w14:paraId="3F16C33D" w14:textId="5F29B831" w:rsidR="00356ABD" w:rsidRDefault="00356ABD" w:rsidP="00356ABD">
      <w:pPr>
        <w:jc w:val="both"/>
        <w:outlineLvl w:val="0"/>
        <w:rPr>
          <w:szCs w:val="24"/>
        </w:rPr>
      </w:pPr>
    </w:p>
    <w:p w14:paraId="6D5FA8DE" w14:textId="3CB92212" w:rsidR="009E37AB" w:rsidRPr="00FC6770" w:rsidRDefault="00356ABD" w:rsidP="002C49A5">
      <w:pPr>
        <w:pStyle w:val="ListParagraph"/>
        <w:numPr>
          <w:ilvl w:val="0"/>
          <w:numId w:val="1"/>
        </w:numPr>
        <w:jc w:val="both"/>
        <w:outlineLvl w:val="0"/>
        <w:rPr>
          <w:szCs w:val="24"/>
        </w:rPr>
      </w:pPr>
      <w:r w:rsidRPr="00FC6770">
        <w:rPr>
          <w:szCs w:val="24"/>
        </w:rPr>
        <w:t xml:space="preserve">DIENESTS </w:t>
      </w:r>
      <w:r w:rsidR="00FC6770" w:rsidRPr="00FC6770">
        <w:rPr>
          <w:szCs w:val="24"/>
        </w:rPr>
        <w:t xml:space="preserve">līdz 2021. gada 31. decembrim </w:t>
      </w:r>
      <w:r w:rsidR="0034190F" w:rsidRPr="00FC6770">
        <w:rPr>
          <w:szCs w:val="24"/>
        </w:rPr>
        <w:t xml:space="preserve">veic </w:t>
      </w:r>
      <w:r w:rsidR="002C49A5" w:rsidRPr="00FC6770">
        <w:rPr>
          <w:szCs w:val="24"/>
        </w:rPr>
        <w:t>starp izmaksu</w:t>
      </w:r>
      <w:r w:rsidRPr="00FC6770">
        <w:rPr>
          <w:szCs w:val="24"/>
        </w:rPr>
        <w:t xml:space="preserve"> par sasniegtajiem Covid-19 vakcinācijas aptveres rādītājiem par periodu no 2021. gada 1.janvāra līdz 2021. gada </w:t>
      </w:r>
      <w:r w:rsidR="00FC6770" w:rsidRPr="00FC6770">
        <w:rPr>
          <w:szCs w:val="24"/>
        </w:rPr>
        <w:t>30. septembrim</w:t>
      </w:r>
      <w:r w:rsidR="00CC7CF0" w:rsidRPr="00FC6770">
        <w:rPr>
          <w:szCs w:val="24"/>
        </w:rPr>
        <w:t>.</w:t>
      </w:r>
    </w:p>
    <w:p w14:paraId="4D830B07" w14:textId="77777777" w:rsidR="004420C3" w:rsidRPr="00FC6770" w:rsidRDefault="004420C3" w:rsidP="004420C3">
      <w:pPr>
        <w:pStyle w:val="ListParagraph"/>
        <w:rPr>
          <w:szCs w:val="24"/>
        </w:rPr>
      </w:pPr>
    </w:p>
    <w:p w14:paraId="2E2145E4" w14:textId="2E089A1D" w:rsidR="004420C3" w:rsidRPr="00FC6770" w:rsidRDefault="004420C3" w:rsidP="002C49A5">
      <w:pPr>
        <w:pStyle w:val="ListParagraph"/>
        <w:numPr>
          <w:ilvl w:val="0"/>
          <w:numId w:val="1"/>
        </w:numPr>
        <w:jc w:val="both"/>
        <w:outlineLvl w:val="0"/>
        <w:rPr>
          <w:szCs w:val="24"/>
        </w:rPr>
      </w:pPr>
      <w:r w:rsidRPr="00FC6770">
        <w:rPr>
          <w:szCs w:val="24"/>
        </w:rPr>
        <w:t xml:space="preserve">DIENESTS </w:t>
      </w:r>
      <w:r w:rsidR="00FC6770" w:rsidRPr="00FC6770">
        <w:rPr>
          <w:szCs w:val="24"/>
        </w:rPr>
        <w:t xml:space="preserve">līdz 2022. gada 28. februārim </w:t>
      </w:r>
      <w:r w:rsidRPr="00FC6770">
        <w:rPr>
          <w:szCs w:val="24"/>
        </w:rPr>
        <w:t>veic samaksu par sasniegtajiem Covid-19 vakcinācijas aptveres rādītājiem par periodu no 2021. gada 1.janvāra līdz 2021. gada 31. decembrim</w:t>
      </w:r>
      <w:r w:rsidR="0034190F" w:rsidRPr="00FC6770">
        <w:rPr>
          <w:szCs w:val="24"/>
        </w:rPr>
        <w:t>.</w:t>
      </w:r>
    </w:p>
    <w:p w14:paraId="51F60358" w14:textId="525DDC0B" w:rsidR="00AC259C" w:rsidRDefault="00AC259C" w:rsidP="00AC259C">
      <w:pPr>
        <w:jc w:val="both"/>
        <w:outlineLvl w:val="0"/>
        <w:rPr>
          <w:szCs w:val="24"/>
        </w:rPr>
      </w:pPr>
    </w:p>
    <w:sectPr w:rsidR="00AC259C" w:rsidSect="003A437A">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E51F" w14:textId="77777777" w:rsidR="00CC7880" w:rsidRDefault="00CC7880" w:rsidP="00D56D5A">
      <w:r>
        <w:separator/>
      </w:r>
    </w:p>
  </w:endnote>
  <w:endnote w:type="continuationSeparator" w:id="0">
    <w:p w14:paraId="72D06D2D" w14:textId="77777777" w:rsidR="00CC7880" w:rsidRDefault="00CC7880" w:rsidP="00D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908D" w14:textId="77777777" w:rsidR="00CC7880" w:rsidRDefault="00CC7880" w:rsidP="00D56D5A">
      <w:r>
        <w:separator/>
      </w:r>
    </w:p>
  </w:footnote>
  <w:footnote w:type="continuationSeparator" w:id="0">
    <w:p w14:paraId="2391FF48" w14:textId="77777777" w:rsidR="00CC7880" w:rsidRDefault="00CC7880" w:rsidP="00D56D5A">
      <w:r>
        <w:continuationSeparator/>
      </w:r>
    </w:p>
  </w:footnote>
  <w:footnote w:id="1">
    <w:p w14:paraId="3171A44A" w14:textId="32C0CB6C" w:rsidR="00C647BD" w:rsidRDefault="00C647BD">
      <w:pPr>
        <w:pStyle w:val="FootnoteText"/>
      </w:pPr>
      <w:r>
        <w:rPr>
          <w:rStyle w:val="FootnoteReference"/>
        </w:rPr>
        <w:footnoteRef/>
      </w:r>
      <w:r>
        <w:t xml:space="preserve"> Hroniskas diagnozes: </w:t>
      </w:r>
      <w:r w:rsidRPr="00C647BD">
        <w:t>C00-C26; C30-C34; C37-C41; C43-C57; C60-C80; C90; C96-C97; D13; D21; D32-D33; D35; D37-D45; D47-D48; D50; D86; E10-E11;</w:t>
      </w:r>
      <w:r w:rsidR="00A76511">
        <w:t xml:space="preserve"> </w:t>
      </w:r>
      <w:r w:rsidR="00EB2DFA" w:rsidRPr="00695D31">
        <w:t>E66</w:t>
      </w:r>
      <w:r w:rsidR="00A76511">
        <w:t>;</w:t>
      </w:r>
      <w:r w:rsidRPr="00C647BD">
        <w:t xml:space="preserve"> G09; G11-G12; G20-G21; G24-G25; G35; G37; G54; G56-G58; G60-G63; G70-G73; G80-G82; G92-G93; G95; G99; H81.8; H81.9; I05-I08; I11; I25; I27; I34-I36; I42-I43; I50; I67; I69-I70; I73; I83; I87; J40-J41; J43-J45; J47;  J63; J67; J84; K20-K21; K59; K70; K74; K76; K91; L25; L27; L89.0-L89.1; L89.9; L98; M05; M07; M10; M13; M35-M36; M79-M81; M83-M85; M95-M96; N18; N28; N30; N40-N41; T90-T93; T95; Z43</w:t>
      </w:r>
    </w:p>
    <w:p w14:paraId="5A22C3D1" w14:textId="0F75963F" w:rsidR="000E3DA8" w:rsidRPr="00DA02A7" w:rsidRDefault="00DA02A7">
      <w:pPr>
        <w:pStyle w:val="FootnoteText"/>
      </w:pPr>
      <w:r w:rsidRPr="000E3DA8">
        <w:rPr>
          <w:vertAlign w:val="superscript"/>
        </w:rPr>
        <w:t>2</w:t>
      </w:r>
      <w:r w:rsidRPr="000E3DA8">
        <w:t xml:space="preserve"> </w:t>
      </w:r>
      <w:r w:rsidR="000E3DA8" w:rsidRPr="000E3DA8">
        <w:t xml:space="preserve">Izņemot </w:t>
      </w:r>
      <w:proofErr w:type="spellStart"/>
      <w:r w:rsidR="000E3DA8" w:rsidRPr="000E3DA8">
        <w:t>jaunatvērtās</w:t>
      </w:r>
      <w:proofErr w:type="spellEnd"/>
      <w:r w:rsidR="000E3DA8" w:rsidRPr="000E3DA8">
        <w:t xml:space="preserve"> prakses un prakses, kur bija nodrošināta ilgstošā prombūtnē esoša ģimenes ārsta  aizvietošana. </w:t>
      </w:r>
      <w:proofErr w:type="spellStart"/>
      <w:r w:rsidR="000E3DA8" w:rsidRPr="000E3DA8">
        <w:t>Jaunatvērtām</w:t>
      </w:r>
      <w:proofErr w:type="spellEnd"/>
      <w:r w:rsidR="000E3DA8" w:rsidRPr="000E3DA8">
        <w:t xml:space="preserve"> praksēm mērķa grupas pacientu skaits tiek noteikts uz 2021. gada 30. septembri un attiecīgi uz 2021. gada 31. decembri. Praksēm, kuras pārņem citas prakses apkalpojamo teritoriju un pacientus, mērķa grupas pacientu skaitā tiek ietverts arī pārņemto pacientu skaits. Ilgstošās aizvietošanas gadījumā aprēķinātais aptveres maksājums tiek sadalīts starp aizvietotāju un aizvietojamo proporcionāli nostrādāto mēnešu skaitam vērtējamā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4179"/>
    <w:multiLevelType w:val="hybridMultilevel"/>
    <w:tmpl w:val="83A4C8E6"/>
    <w:lvl w:ilvl="0" w:tplc="C71CF6CC">
      <w:start w:val="5"/>
      <w:numFmt w:val="decimal"/>
      <w:lvlText w:val="%1."/>
      <w:lvlJc w:val="left"/>
      <w:pPr>
        <w:ind w:left="645" w:hanging="360"/>
      </w:pPr>
    </w:lvl>
    <w:lvl w:ilvl="1" w:tplc="04260019">
      <w:start w:val="1"/>
      <w:numFmt w:val="lowerLetter"/>
      <w:lvlText w:val="%2."/>
      <w:lvlJc w:val="left"/>
      <w:pPr>
        <w:ind w:left="1365" w:hanging="360"/>
      </w:pPr>
    </w:lvl>
    <w:lvl w:ilvl="2" w:tplc="0426001B">
      <w:start w:val="1"/>
      <w:numFmt w:val="lowerRoman"/>
      <w:lvlText w:val="%3."/>
      <w:lvlJc w:val="right"/>
      <w:pPr>
        <w:ind w:left="2085" w:hanging="180"/>
      </w:pPr>
    </w:lvl>
    <w:lvl w:ilvl="3" w:tplc="0426000F">
      <w:start w:val="1"/>
      <w:numFmt w:val="decimal"/>
      <w:lvlText w:val="%4."/>
      <w:lvlJc w:val="left"/>
      <w:pPr>
        <w:ind w:left="2805" w:hanging="360"/>
      </w:pPr>
    </w:lvl>
    <w:lvl w:ilvl="4" w:tplc="04260019">
      <w:start w:val="1"/>
      <w:numFmt w:val="lowerLetter"/>
      <w:lvlText w:val="%5."/>
      <w:lvlJc w:val="left"/>
      <w:pPr>
        <w:ind w:left="3525" w:hanging="360"/>
      </w:pPr>
    </w:lvl>
    <w:lvl w:ilvl="5" w:tplc="0426001B">
      <w:start w:val="1"/>
      <w:numFmt w:val="lowerRoman"/>
      <w:lvlText w:val="%6."/>
      <w:lvlJc w:val="right"/>
      <w:pPr>
        <w:ind w:left="4245" w:hanging="180"/>
      </w:pPr>
    </w:lvl>
    <w:lvl w:ilvl="6" w:tplc="0426000F">
      <w:start w:val="1"/>
      <w:numFmt w:val="decimal"/>
      <w:lvlText w:val="%7."/>
      <w:lvlJc w:val="left"/>
      <w:pPr>
        <w:ind w:left="4965" w:hanging="360"/>
      </w:pPr>
    </w:lvl>
    <w:lvl w:ilvl="7" w:tplc="04260019">
      <w:start w:val="1"/>
      <w:numFmt w:val="lowerLetter"/>
      <w:lvlText w:val="%8."/>
      <w:lvlJc w:val="left"/>
      <w:pPr>
        <w:ind w:left="5685" w:hanging="360"/>
      </w:pPr>
    </w:lvl>
    <w:lvl w:ilvl="8" w:tplc="0426001B">
      <w:start w:val="1"/>
      <w:numFmt w:val="lowerRoman"/>
      <w:lvlText w:val="%9."/>
      <w:lvlJc w:val="right"/>
      <w:pPr>
        <w:ind w:left="6405" w:hanging="180"/>
      </w:pPr>
    </w:lvl>
  </w:abstractNum>
  <w:abstractNum w:abstractNumId="1" w15:restartNumberingAfterBreak="0">
    <w:nsid w:val="2236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832B3E"/>
    <w:multiLevelType w:val="hybridMultilevel"/>
    <w:tmpl w:val="B6A08C96"/>
    <w:lvl w:ilvl="0" w:tplc="7DACC71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7CB3349"/>
    <w:multiLevelType w:val="hybridMultilevel"/>
    <w:tmpl w:val="7DA0F8E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01"/>
    <w:rsid w:val="000006FC"/>
    <w:rsid w:val="00030ED0"/>
    <w:rsid w:val="000743D3"/>
    <w:rsid w:val="00091275"/>
    <w:rsid w:val="000917A0"/>
    <w:rsid w:val="000C1DC6"/>
    <w:rsid w:val="000C2E5F"/>
    <w:rsid w:val="000C77C4"/>
    <w:rsid w:val="000D74A2"/>
    <w:rsid w:val="000E3DA8"/>
    <w:rsid w:val="000F79E1"/>
    <w:rsid w:val="00100A32"/>
    <w:rsid w:val="00147CCF"/>
    <w:rsid w:val="001535C6"/>
    <w:rsid w:val="00182C54"/>
    <w:rsid w:val="00197BD2"/>
    <w:rsid w:val="001B1A68"/>
    <w:rsid w:val="001E61A3"/>
    <w:rsid w:val="0024664B"/>
    <w:rsid w:val="00261646"/>
    <w:rsid w:val="002B122A"/>
    <w:rsid w:val="002C438C"/>
    <w:rsid w:val="002C49A5"/>
    <w:rsid w:val="002C5CE9"/>
    <w:rsid w:val="0034190F"/>
    <w:rsid w:val="0035029B"/>
    <w:rsid w:val="00356ABD"/>
    <w:rsid w:val="003737E6"/>
    <w:rsid w:val="00396F07"/>
    <w:rsid w:val="003A437A"/>
    <w:rsid w:val="003B609B"/>
    <w:rsid w:val="003C0208"/>
    <w:rsid w:val="004101EE"/>
    <w:rsid w:val="00420ED2"/>
    <w:rsid w:val="00434A33"/>
    <w:rsid w:val="004420C3"/>
    <w:rsid w:val="004A796A"/>
    <w:rsid w:val="004E6F1E"/>
    <w:rsid w:val="005761AD"/>
    <w:rsid w:val="00581B36"/>
    <w:rsid w:val="005B0CC3"/>
    <w:rsid w:val="005B7114"/>
    <w:rsid w:val="005C0D40"/>
    <w:rsid w:val="005F2CBA"/>
    <w:rsid w:val="00616049"/>
    <w:rsid w:val="00636AA3"/>
    <w:rsid w:val="00645B14"/>
    <w:rsid w:val="00650B32"/>
    <w:rsid w:val="0066773C"/>
    <w:rsid w:val="00680D6D"/>
    <w:rsid w:val="00695D31"/>
    <w:rsid w:val="006A390B"/>
    <w:rsid w:val="006B2091"/>
    <w:rsid w:val="006D6ED1"/>
    <w:rsid w:val="006E60E2"/>
    <w:rsid w:val="00730EAC"/>
    <w:rsid w:val="007353DC"/>
    <w:rsid w:val="00746520"/>
    <w:rsid w:val="00752655"/>
    <w:rsid w:val="00752BBA"/>
    <w:rsid w:val="00791E84"/>
    <w:rsid w:val="007A3E1B"/>
    <w:rsid w:val="007A68C8"/>
    <w:rsid w:val="007B769D"/>
    <w:rsid w:val="00865E12"/>
    <w:rsid w:val="00883BDB"/>
    <w:rsid w:val="00896C0C"/>
    <w:rsid w:val="008C28DF"/>
    <w:rsid w:val="008F267F"/>
    <w:rsid w:val="00901BD1"/>
    <w:rsid w:val="00930FB4"/>
    <w:rsid w:val="00942035"/>
    <w:rsid w:val="00942661"/>
    <w:rsid w:val="00946DFF"/>
    <w:rsid w:val="00955F4C"/>
    <w:rsid w:val="00960DCA"/>
    <w:rsid w:val="009A40B7"/>
    <w:rsid w:val="009B41FD"/>
    <w:rsid w:val="009C0749"/>
    <w:rsid w:val="009E37AB"/>
    <w:rsid w:val="00A006DB"/>
    <w:rsid w:val="00A75989"/>
    <w:rsid w:val="00A76511"/>
    <w:rsid w:val="00AC259C"/>
    <w:rsid w:val="00B00C77"/>
    <w:rsid w:val="00B24A38"/>
    <w:rsid w:val="00B24DAB"/>
    <w:rsid w:val="00B3020C"/>
    <w:rsid w:val="00B3667A"/>
    <w:rsid w:val="00B422C1"/>
    <w:rsid w:val="00B43C9D"/>
    <w:rsid w:val="00B46C92"/>
    <w:rsid w:val="00B76532"/>
    <w:rsid w:val="00B86815"/>
    <w:rsid w:val="00BC3624"/>
    <w:rsid w:val="00C04080"/>
    <w:rsid w:val="00C161F9"/>
    <w:rsid w:val="00C2353D"/>
    <w:rsid w:val="00C647BD"/>
    <w:rsid w:val="00C66DE9"/>
    <w:rsid w:val="00C942AE"/>
    <w:rsid w:val="00CB7E79"/>
    <w:rsid w:val="00CC1ADB"/>
    <w:rsid w:val="00CC7880"/>
    <w:rsid w:val="00CC7CF0"/>
    <w:rsid w:val="00CE4363"/>
    <w:rsid w:val="00CF20A6"/>
    <w:rsid w:val="00D2366D"/>
    <w:rsid w:val="00D26244"/>
    <w:rsid w:val="00D47140"/>
    <w:rsid w:val="00D56D5A"/>
    <w:rsid w:val="00DA02A7"/>
    <w:rsid w:val="00DA5E39"/>
    <w:rsid w:val="00DD2062"/>
    <w:rsid w:val="00DF732F"/>
    <w:rsid w:val="00E41A2E"/>
    <w:rsid w:val="00E444CF"/>
    <w:rsid w:val="00E76F55"/>
    <w:rsid w:val="00E94928"/>
    <w:rsid w:val="00EB2DFA"/>
    <w:rsid w:val="00EC53F8"/>
    <w:rsid w:val="00F05A01"/>
    <w:rsid w:val="00F5257D"/>
    <w:rsid w:val="00F94274"/>
    <w:rsid w:val="00FA1B7D"/>
    <w:rsid w:val="00FA28AD"/>
    <w:rsid w:val="00FC6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882E"/>
  <w15:chartTrackingRefBased/>
  <w15:docId w15:val="{285B6497-786E-4A1C-B1F3-F5E2CC7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01"/>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C6"/>
    <w:pPr>
      <w:ind w:left="720"/>
      <w:contextualSpacing/>
    </w:pPr>
  </w:style>
  <w:style w:type="table" w:styleId="TableGrid">
    <w:name w:val="Table Grid"/>
    <w:basedOn w:val="TableNormal"/>
    <w:uiPriority w:val="39"/>
    <w:rsid w:val="000C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32"/>
    <w:rPr>
      <w:rFonts w:ascii="Segoe UI" w:eastAsia="Calibri" w:hAnsi="Segoe UI" w:cs="Segoe UI"/>
      <w:sz w:val="18"/>
      <w:szCs w:val="18"/>
    </w:rPr>
  </w:style>
  <w:style w:type="numbering" w:customStyle="1" w:styleId="NoList1">
    <w:name w:val="No List1"/>
    <w:next w:val="NoList"/>
    <w:uiPriority w:val="99"/>
    <w:semiHidden/>
    <w:unhideWhenUsed/>
    <w:rsid w:val="00946DFF"/>
  </w:style>
  <w:style w:type="character" w:styleId="CommentReference">
    <w:name w:val="annotation reference"/>
    <w:basedOn w:val="DefaultParagraphFont"/>
    <w:uiPriority w:val="99"/>
    <w:semiHidden/>
    <w:unhideWhenUsed/>
    <w:rsid w:val="002C438C"/>
    <w:rPr>
      <w:sz w:val="16"/>
      <w:szCs w:val="16"/>
    </w:rPr>
  </w:style>
  <w:style w:type="paragraph" w:styleId="CommentText">
    <w:name w:val="annotation text"/>
    <w:basedOn w:val="Normal"/>
    <w:link w:val="CommentTextChar"/>
    <w:uiPriority w:val="99"/>
    <w:semiHidden/>
    <w:unhideWhenUsed/>
    <w:rsid w:val="002C438C"/>
    <w:rPr>
      <w:sz w:val="20"/>
      <w:szCs w:val="20"/>
    </w:rPr>
  </w:style>
  <w:style w:type="character" w:customStyle="1" w:styleId="CommentTextChar">
    <w:name w:val="Comment Text Char"/>
    <w:basedOn w:val="DefaultParagraphFont"/>
    <w:link w:val="CommentText"/>
    <w:uiPriority w:val="99"/>
    <w:semiHidden/>
    <w:rsid w:val="002C43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38C"/>
    <w:rPr>
      <w:b/>
      <w:bCs/>
    </w:rPr>
  </w:style>
  <w:style w:type="character" w:customStyle="1" w:styleId="CommentSubjectChar">
    <w:name w:val="Comment Subject Char"/>
    <w:basedOn w:val="CommentTextChar"/>
    <w:link w:val="CommentSubject"/>
    <w:uiPriority w:val="99"/>
    <w:semiHidden/>
    <w:rsid w:val="002C438C"/>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3B609B"/>
    <w:rPr>
      <w:color w:val="0000FF"/>
      <w:u w:val="single"/>
    </w:rPr>
  </w:style>
  <w:style w:type="paragraph" w:styleId="FootnoteText">
    <w:name w:val="footnote text"/>
    <w:basedOn w:val="Normal"/>
    <w:link w:val="FootnoteTextChar"/>
    <w:uiPriority w:val="99"/>
    <w:semiHidden/>
    <w:unhideWhenUsed/>
    <w:rsid w:val="00D56D5A"/>
    <w:rPr>
      <w:sz w:val="20"/>
      <w:szCs w:val="20"/>
    </w:rPr>
  </w:style>
  <w:style w:type="character" w:customStyle="1" w:styleId="FootnoteTextChar">
    <w:name w:val="Footnote Text Char"/>
    <w:basedOn w:val="DefaultParagraphFont"/>
    <w:link w:val="FootnoteText"/>
    <w:uiPriority w:val="99"/>
    <w:semiHidden/>
    <w:rsid w:val="00D56D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56D5A"/>
    <w:rPr>
      <w:vertAlign w:val="superscript"/>
    </w:rPr>
  </w:style>
  <w:style w:type="character" w:styleId="Strong">
    <w:name w:val="Strong"/>
    <w:basedOn w:val="DefaultParagraphFont"/>
    <w:uiPriority w:val="22"/>
    <w:qFormat/>
    <w:rsid w:val="00373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311">
      <w:bodyDiv w:val="1"/>
      <w:marLeft w:val="0"/>
      <w:marRight w:val="0"/>
      <w:marTop w:val="0"/>
      <w:marBottom w:val="0"/>
      <w:divBdr>
        <w:top w:val="none" w:sz="0" w:space="0" w:color="auto"/>
        <w:left w:val="none" w:sz="0" w:space="0" w:color="auto"/>
        <w:bottom w:val="none" w:sz="0" w:space="0" w:color="auto"/>
        <w:right w:val="none" w:sz="0" w:space="0" w:color="auto"/>
      </w:divBdr>
    </w:div>
    <w:div w:id="911545117">
      <w:bodyDiv w:val="1"/>
      <w:marLeft w:val="0"/>
      <w:marRight w:val="0"/>
      <w:marTop w:val="0"/>
      <w:marBottom w:val="0"/>
      <w:divBdr>
        <w:top w:val="none" w:sz="0" w:space="0" w:color="auto"/>
        <w:left w:val="none" w:sz="0" w:space="0" w:color="auto"/>
        <w:bottom w:val="none" w:sz="0" w:space="0" w:color="auto"/>
        <w:right w:val="none" w:sz="0" w:space="0" w:color="auto"/>
      </w:divBdr>
    </w:div>
    <w:div w:id="1012074827">
      <w:bodyDiv w:val="1"/>
      <w:marLeft w:val="0"/>
      <w:marRight w:val="0"/>
      <w:marTop w:val="0"/>
      <w:marBottom w:val="0"/>
      <w:divBdr>
        <w:top w:val="none" w:sz="0" w:space="0" w:color="auto"/>
        <w:left w:val="none" w:sz="0" w:space="0" w:color="auto"/>
        <w:bottom w:val="none" w:sz="0" w:space="0" w:color="auto"/>
        <w:right w:val="none" w:sz="0" w:space="0" w:color="auto"/>
      </w:divBdr>
    </w:div>
    <w:div w:id="1094861257">
      <w:bodyDiv w:val="1"/>
      <w:marLeft w:val="0"/>
      <w:marRight w:val="0"/>
      <w:marTop w:val="0"/>
      <w:marBottom w:val="0"/>
      <w:divBdr>
        <w:top w:val="none" w:sz="0" w:space="0" w:color="auto"/>
        <w:left w:val="none" w:sz="0" w:space="0" w:color="auto"/>
        <w:bottom w:val="none" w:sz="0" w:space="0" w:color="auto"/>
        <w:right w:val="none" w:sz="0" w:space="0" w:color="auto"/>
      </w:divBdr>
    </w:div>
    <w:div w:id="1863321756">
      <w:bodyDiv w:val="1"/>
      <w:marLeft w:val="0"/>
      <w:marRight w:val="0"/>
      <w:marTop w:val="0"/>
      <w:marBottom w:val="0"/>
      <w:divBdr>
        <w:top w:val="none" w:sz="0" w:space="0" w:color="auto"/>
        <w:left w:val="none" w:sz="0" w:space="0" w:color="auto"/>
        <w:bottom w:val="none" w:sz="0" w:space="0" w:color="auto"/>
        <w:right w:val="none" w:sz="0" w:space="0" w:color="auto"/>
      </w:divBdr>
    </w:div>
    <w:div w:id="19727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179F-FAF3-4C3E-9470-4134763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3755</Words>
  <Characters>2141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Ieva Silionova</cp:lastModifiedBy>
  <cp:revision>4</cp:revision>
  <cp:lastPrinted>2018-12-06T12:39:00Z</cp:lastPrinted>
  <dcterms:created xsi:type="dcterms:W3CDTF">2021-10-18T11:56:00Z</dcterms:created>
  <dcterms:modified xsi:type="dcterms:W3CDTF">2021-10-19T13:21:00Z</dcterms:modified>
</cp:coreProperties>
</file>