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77777777" w:rsidR="00BB2832" w:rsidRDefault="00E2799E" w:rsidP="000B57B6">
      <w:pPr>
        <w:spacing w:before="65"/>
        <w:ind w:right="1546"/>
        <w:jc w:val="center"/>
        <w:rPr>
          <w:b/>
          <w:sz w:val="28"/>
        </w:rPr>
      </w:pPr>
      <w:r>
        <w:rPr>
          <w:b/>
          <w:sz w:val="28"/>
        </w:rPr>
        <w:lastRenderedPageBreak/>
        <w:t>SATURS</w:t>
      </w:r>
    </w:p>
    <w:sdt>
      <w:sdtPr>
        <w:rPr>
          <w:rFonts w:ascii="Times New Roman" w:eastAsia="Times New Roman" w:hAnsi="Times New Roman" w:cs="Times New Roman"/>
          <w:color w:val="auto"/>
          <w:sz w:val="22"/>
          <w:szCs w:val="22"/>
          <w:lang w:val="lv-LV"/>
        </w:rPr>
        <w:id w:val="-1749332107"/>
        <w:docPartObj>
          <w:docPartGallery w:val="Table of Contents"/>
          <w:docPartUnique/>
        </w:docPartObj>
      </w:sdtPr>
      <w:sdtEndPr>
        <w:rPr>
          <w:b/>
          <w:bCs/>
          <w:noProof/>
        </w:rPr>
      </w:sdtEndPr>
      <w:sdtContent>
        <w:p w14:paraId="7DB054AB" w14:textId="32602B27" w:rsidR="0040117D" w:rsidRDefault="0040117D">
          <w:pPr>
            <w:pStyle w:val="TOCHeading"/>
          </w:pPr>
        </w:p>
        <w:p w14:paraId="5FF854A3" w14:textId="3F7F2255" w:rsidR="0040117D" w:rsidRDefault="0040117D">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85445840" w:history="1">
            <w:r w:rsidRPr="006C70C8">
              <w:rPr>
                <w:rStyle w:val="Hyperlink"/>
                <w:noProof/>
              </w:rPr>
              <w:t>Izmaiņas Manipulāciju sarakstā no 15.10.2021.</w:t>
            </w:r>
            <w:r>
              <w:rPr>
                <w:noProof/>
                <w:webHidden/>
              </w:rPr>
              <w:tab/>
            </w:r>
            <w:r>
              <w:rPr>
                <w:noProof/>
                <w:webHidden/>
              </w:rPr>
              <w:fldChar w:fldCharType="begin"/>
            </w:r>
            <w:r>
              <w:rPr>
                <w:noProof/>
                <w:webHidden/>
              </w:rPr>
              <w:instrText xml:space="preserve"> PAGEREF _Toc85445840 \h </w:instrText>
            </w:r>
            <w:r>
              <w:rPr>
                <w:noProof/>
                <w:webHidden/>
              </w:rPr>
            </w:r>
            <w:r>
              <w:rPr>
                <w:noProof/>
                <w:webHidden/>
              </w:rPr>
              <w:fldChar w:fldCharType="separate"/>
            </w:r>
            <w:r w:rsidR="00CD65F9">
              <w:rPr>
                <w:noProof/>
                <w:webHidden/>
              </w:rPr>
              <w:t>4</w:t>
            </w:r>
            <w:r>
              <w:rPr>
                <w:noProof/>
                <w:webHidden/>
              </w:rPr>
              <w:fldChar w:fldCharType="end"/>
            </w:r>
          </w:hyperlink>
        </w:p>
        <w:p w14:paraId="54D3CE5A" w14:textId="0F040848"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1" w:history="1">
            <w:r w:rsidR="0040117D" w:rsidRPr="006C70C8">
              <w:rPr>
                <w:rStyle w:val="Hyperlink"/>
                <w:noProof/>
              </w:rPr>
              <w:t>Izmaiņas Manipulāciju sarakstā no 01.10.2021.</w:t>
            </w:r>
            <w:r w:rsidR="0040117D">
              <w:rPr>
                <w:noProof/>
                <w:webHidden/>
              </w:rPr>
              <w:tab/>
            </w:r>
            <w:r w:rsidR="0040117D">
              <w:rPr>
                <w:noProof/>
                <w:webHidden/>
              </w:rPr>
              <w:fldChar w:fldCharType="begin"/>
            </w:r>
            <w:r w:rsidR="0040117D">
              <w:rPr>
                <w:noProof/>
                <w:webHidden/>
              </w:rPr>
              <w:instrText xml:space="preserve"> PAGEREF _Toc85445841 \h </w:instrText>
            </w:r>
            <w:r w:rsidR="0040117D">
              <w:rPr>
                <w:noProof/>
                <w:webHidden/>
              </w:rPr>
            </w:r>
            <w:r w:rsidR="0040117D">
              <w:rPr>
                <w:noProof/>
                <w:webHidden/>
              </w:rPr>
              <w:fldChar w:fldCharType="separate"/>
            </w:r>
            <w:r w:rsidR="00CD65F9">
              <w:rPr>
                <w:noProof/>
                <w:webHidden/>
              </w:rPr>
              <w:t>12</w:t>
            </w:r>
            <w:r w:rsidR="0040117D">
              <w:rPr>
                <w:noProof/>
                <w:webHidden/>
              </w:rPr>
              <w:fldChar w:fldCharType="end"/>
            </w:r>
          </w:hyperlink>
        </w:p>
        <w:p w14:paraId="5CA02411" w14:textId="48E3CCB4"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2" w:history="1">
            <w:r w:rsidR="0040117D" w:rsidRPr="006C70C8">
              <w:rPr>
                <w:rStyle w:val="Hyperlink"/>
                <w:noProof/>
              </w:rPr>
              <w:t>Izmaiņas Manipulāciju sarakstā no 11.08.2021.</w:t>
            </w:r>
            <w:r w:rsidR="0040117D">
              <w:rPr>
                <w:noProof/>
                <w:webHidden/>
              </w:rPr>
              <w:tab/>
            </w:r>
            <w:r w:rsidR="0040117D">
              <w:rPr>
                <w:noProof/>
                <w:webHidden/>
              </w:rPr>
              <w:fldChar w:fldCharType="begin"/>
            </w:r>
            <w:r w:rsidR="0040117D">
              <w:rPr>
                <w:noProof/>
                <w:webHidden/>
              </w:rPr>
              <w:instrText xml:space="preserve"> PAGEREF _Toc85445842 \h </w:instrText>
            </w:r>
            <w:r w:rsidR="0040117D">
              <w:rPr>
                <w:noProof/>
                <w:webHidden/>
              </w:rPr>
            </w:r>
            <w:r w:rsidR="0040117D">
              <w:rPr>
                <w:noProof/>
                <w:webHidden/>
              </w:rPr>
              <w:fldChar w:fldCharType="separate"/>
            </w:r>
            <w:r w:rsidR="00CD65F9">
              <w:rPr>
                <w:noProof/>
                <w:webHidden/>
              </w:rPr>
              <w:t>32</w:t>
            </w:r>
            <w:r w:rsidR="0040117D">
              <w:rPr>
                <w:noProof/>
                <w:webHidden/>
              </w:rPr>
              <w:fldChar w:fldCharType="end"/>
            </w:r>
          </w:hyperlink>
        </w:p>
        <w:p w14:paraId="0694840F" w14:textId="2D3FA45D"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3" w:history="1">
            <w:r w:rsidR="0040117D" w:rsidRPr="006C70C8">
              <w:rPr>
                <w:rStyle w:val="Hyperlink"/>
                <w:noProof/>
              </w:rPr>
              <w:t>Izmaiņas Manipulāciju sarakstā no 12.07.2021.</w:t>
            </w:r>
            <w:r w:rsidR="0040117D">
              <w:rPr>
                <w:noProof/>
                <w:webHidden/>
              </w:rPr>
              <w:tab/>
            </w:r>
            <w:r w:rsidR="0040117D">
              <w:rPr>
                <w:noProof/>
                <w:webHidden/>
              </w:rPr>
              <w:fldChar w:fldCharType="begin"/>
            </w:r>
            <w:r w:rsidR="0040117D">
              <w:rPr>
                <w:noProof/>
                <w:webHidden/>
              </w:rPr>
              <w:instrText xml:space="preserve"> PAGEREF _Toc85445843 \h </w:instrText>
            </w:r>
            <w:r w:rsidR="0040117D">
              <w:rPr>
                <w:noProof/>
                <w:webHidden/>
              </w:rPr>
            </w:r>
            <w:r w:rsidR="0040117D">
              <w:rPr>
                <w:noProof/>
                <w:webHidden/>
              </w:rPr>
              <w:fldChar w:fldCharType="separate"/>
            </w:r>
            <w:r w:rsidR="00CD65F9">
              <w:rPr>
                <w:noProof/>
                <w:webHidden/>
              </w:rPr>
              <w:t>33</w:t>
            </w:r>
            <w:r w:rsidR="0040117D">
              <w:rPr>
                <w:noProof/>
                <w:webHidden/>
              </w:rPr>
              <w:fldChar w:fldCharType="end"/>
            </w:r>
          </w:hyperlink>
        </w:p>
        <w:p w14:paraId="0A9AEBCD" w14:textId="0D022AC2"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4" w:history="1">
            <w:r w:rsidR="0040117D" w:rsidRPr="006C70C8">
              <w:rPr>
                <w:rStyle w:val="Hyperlink"/>
                <w:noProof/>
              </w:rPr>
              <w:t>Izmaiņas Manipulāciju sarakstā ar 01.07.2021.</w:t>
            </w:r>
            <w:r w:rsidR="0040117D">
              <w:rPr>
                <w:noProof/>
                <w:webHidden/>
              </w:rPr>
              <w:tab/>
            </w:r>
            <w:r w:rsidR="0040117D">
              <w:rPr>
                <w:noProof/>
                <w:webHidden/>
              </w:rPr>
              <w:fldChar w:fldCharType="begin"/>
            </w:r>
            <w:r w:rsidR="0040117D">
              <w:rPr>
                <w:noProof/>
                <w:webHidden/>
              </w:rPr>
              <w:instrText xml:space="preserve"> PAGEREF _Toc85445844 \h </w:instrText>
            </w:r>
            <w:r w:rsidR="0040117D">
              <w:rPr>
                <w:noProof/>
                <w:webHidden/>
              </w:rPr>
            </w:r>
            <w:r w:rsidR="0040117D">
              <w:rPr>
                <w:noProof/>
                <w:webHidden/>
              </w:rPr>
              <w:fldChar w:fldCharType="separate"/>
            </w:r>
            <w:r w:rsidR="00CD65F9">
              <w:rPr>
                <w:noProof/>
                <w:webHidden/>
              </w:rPr>
              <w:t>35</w:t>
            </w:r>
            <w:r w:rsidR="0040117D">
              <w:rPr>
                <w:noProof/>
                <w:webHidden/>
              </w:rPr>
              <w:fldChar w:fldCharType="end"/>
            </w:r>
          </w:hyperlink>
        </w:p>
        <w:p w14:paraId="7454BB5C" w14:textId="2EB5AAC2"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5" w:history="1">
            <w:r w:rsidR="0040117D" w:rsidRPr="006C70C8">
              <w:rPr>
                <w:rStyle w:val="Hyperlink"/>
                <w:noProof/>
              </w:rPr>
              <w:t>Izmaiņas Manipulāciju sarakstā ar 01.06.2021.</w:t>
            </w:r>
            <w:r w:rsidR="0040117D">
              <w:rPr>
                <w:noProof/>
                <w:webHidden/>
              </w:rPr>
              <w:tab/>
            </w:r>
            <w:r w:rsidR="0040117D">
              <w:rPr>
                <w:noProof/>
                <w:webHidden/>
              </w:rPr>
              <w:fldChar w:fldCharType="begin"/>
            </w:r>
            <w:r w:rsidR="0040117D">
              <w:rPr>
                <w:noProof/>
                <w:webHidden/>
              </w:rPr>
              <w:instrText xml:space="preserve"> PAGEREF _Toc85445845 \h </w:instrText>
            </w:r>
            <w:r w:rsidR="0040117D">
              <w:rPr>
                <w:noProof/>
                <w:webHidden/>
              </w:rPr>
            </w:r>
            <w:r w:rsidR="0040117D">
              <w:rPr>
                <w:noProof/>
                <w:webHidden/>
              </w:rPr>
              <w:fldChar w:fldCharType="separate"/>
            </w:r>
            <w:r w:rsidR="00CD65F9">
              <w:rPr>
                <w:noProof/>
                <w:webHidden/>
              </w:rPr>
              <w:t>140</w:t>
            </w:r>
            <w:r w:rsidR="0040117D">
              <w:rPr>
                <w:noProof/>
                <w:webHidden/>
              </w:rPr>
              <w:fldChar w:fldCharType="end"/>
            </w:r>
          </w:hyperlink>
        </w:p>
        <w:p w14:paraId="71A4B8D9" w14:textId="65E432E5"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6" w:history="1">
            <w:r w:rsidR="0040117D" w:rsidRPr="006C70C8">
              <w:rPr>
                <w:rStyle w:val="Hyperlink"/>
                <w:noProof/>
              </w:rPr>
              <w:t>Izmaiņas Manipulāciju sarakstā ar 01.05.2021.</w:t>
            </w:r>
            <w:r w:rsidR="0040117D">
              <w:rPr>
                <w:noProof/>
                <w:webHidden/>
              </w:rPr>
              <w:tab/>
            </w:r>
            <w:r w:rsidR="0040117D">
              <w:rPr>
                <w:noProof/>
                <w:webHidden/>
              </w:rPr>
              <w:fldChar w:fldCharType="begin"/>
            </w:r>
            <w:r w:rsidR="0040117D">
              <w:rPr>
                <w:noProof/>
                <w:webHidden/>
              </w:rPr>
              <w:instrText xml:space="preserve"> PAGEREF _Toc85445846 \h </w:instrText>
            </w:r>
            <w:r w:rsidR="0040117D">
              <w:rPr>
                <w:noProof/>
                <w:webHidden/>
              </w:rPr>
            </w:r>
            <w:r w:rsidR="0040117D">
              <w:rPr>
                <w:noProof/>
                <w:webHidden/>
              </w:rPr>
              <w:fldChar w:fldCharType="separate"/>
            </w:r>
            <w:r w:rsidR="00CD65F9">
              <w:rPr>
                <w:noProof/>
                <w:webHidden/>
              </w:rPr>
              <w:t>145</w:t>
            </w:r>
            <w:r w:rsidR="0040117D">
              <w:rPr>
                <w:noProof/>
                <w:webHidden/>
              </w:rPr>
              <w:fldChar w:fldCharType="end"/>
            </w:r>
          </w:hyperlink>
        </w:p>
        <w:p w14:paraId="5754438F" w14:textId="57362461"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7" w:history="1">
            <w:r w:rsidR="0040117D" w:rsidRPr="006C70C8">
              <w:rPr>
                <w:rStyle w:val="Hyperlink"/>
                <w:noProof/>
              </w:rPr>
              <w:t>Izmaiņas Manipulāciju sarakstā ar 22.02.2021.</w:t>
            </w:r>
            <w:r w:rsidR="0040117D">
              <w:rPr>
                <w:noProof/>
                <w:webHidden/>
              </w:rPr>
              <w:tab/>
            </w:r>
            <w:r w:rsidR="0040117D">
              <w:rPr>
                <w:noProof/>
                <w:webHidden/>
              </w:rPr>
              <w:fldChar w:fldCharType="begin"/>
            </w:r>
            <w:r w:rsidR="0040117D">
              <w:rPr>
                <w:noProof/>
                <w:webHidden/>
              </w:rPr>
              <w:instrText xml:space="preserve"> PAGEREF _Toc85445847 \h </w:instrText>
            </w:r>
            <w:r w:rsidR="0040117D">
              <w:rPr>
                <w:noProof/>
                <w:webHidden/>
              </w:rPr>
            </w:r>
            <w:r w:rsidR="0040117D">
              <w:rPr>
                <w:noProof/>
                <w:webHidden/>
              </w:rPr>
              <w:fldChar w:fldCharType="separate"/>
            </w:r>
            <w:r w:rsidR="00CD65F9">
              <w:rPr>
                <w:noProof/>
                <w:webHidden/>
              </w:rPr>
              <w:t>150</w:t>
            </w:r>
            <w:r w:rsidR="0040117D">
              <w:rPr>
                <w:noProof/>
                <w:webHidden/>
              </w:rPr>
              <w:fldChar w:fldCharType="end"/>
            </w:r>
          </w:hyperlink>
        </w:p>
        <w:p w14:paraId="56B09FFC" w14:textId="01533713"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8" w:history="1">
            <w:r w:rsidR="0040117D" w:rsidRPr="006C70C8">
              <w:rPr>
                <w:rStyle w:val="Hyperlink"/>
                <w:noProof/>
              </w:rPr>
              <w:t>Izmaiņas Manipulāciju sarakstā no 19.04.2021.</w:t>
            </w:r>
            <w:r w:rsidR="0040117D">
              <w:rPr>
                <w:noProof/>
                <w:webHidden/>
              </w:rPr>
              <w:tab/>
            </w:r>
            <w:r w:rsidR="0040117D">
              <w:rPr>
                <w:noProof/>
                <w:webHidden/>
              </w:rPr>
              <w:fldChar w:fldCharType="begin"/>
            </w:r>
            <w:r w:rsidR="0040117D">
              <w:rPr>
                <w:noProof/>
                <w:webHidden/>
              </w:rPr>
              <w:instrText xml:space="preserve"> PAGEREF _Toc85445848 \h </w:instrText>
            </w:r>
            <w:r w:rsidR="0040117D">
              <w:rPr>
                <w:noProof/>
                <w:webHidden/>
              </w:rPr>
            </w:r>
            <w:r w:rsidR="0040117D">
              <w:rPr>
                <w:noProof/>
                <w:webHidden/>
              </w:rPr>
              <w:fldChar w:fldCharType="separate"/>
            </w:r>
            <w:r w:rsidR="00CD65F9">
              <w:rPr>
                <w:noProof/>
                <w:webHidden/>
              </w:rPr>
              <w:t>153</w:t>
            </w:r>
            <w:r w:rsidR="0040117D">
              <w:rPr>
                <w:noProof/>
                <w:webHidden/>
              </w:rPr>
              <w:fldChar w:fldCharType="end"/>
            </w:r>
          </w:hyperlink>
        </w:p>
        <w:p w14:paraId="50F67AFC" w14:textId="1B0DD8F5"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49" w:history="1">
            <w:r w:rsidR="0040117D" w:rsidRPr="006C70C8">
              <w:rPr>
                <w:rStyle w:val="Hyperlink"/>
                <w:noProof/>
              </w:rPr>
              <w:t>Izmaiņas Manipulāciju sarakstā no 01.04.2021.</w:t>
            </w:r>
            <w:r w:rsidR="0040117D">
              <w:rPr>
                <w:noProof/>
                <w:webHidden/>
              </w:rPr>
              <w:tab/>
            </w:r>
            <w:r w:rsidR="0040117D">
              <w:rPr>
                <w:noProof/>
                <w:webHidden/>
              </w:rPr>
              <w:fldChar w:fldCharType="begin"/>
            </w:r>
            <w:r w:rsidR="0040117D">
              <w:rPr>
                <w:noProof/>
                <w:webHidden/>
              </w:rPr>
              <w:instrText xml:space="preserve"> PAGEREF _Toc85445849 \h </w:instrText>
            </w:r>
            <w:r w:rsidR="0040117D">
              <w:rPr>
                <w:noProof/>
                <w:webHidden/>
              </w:rPr>
            </w:r>
            <w:r w:rsidR="0040117D">
              <w:rPr>
                <w:noProof/>
                <w:webHidden/>
              </w:rPr>
              <w:fldChar w:fldCharType="separate"/>
            </w:r>
            <w:r w:rsidR="00CD65F9">
              <w:rPr>
                <w:noProof/>
                <w:webHidden/>
              </w:rPr>
              <w:t>155</w:t>
            </w:r>
            <w:r w:rsidR="0040117D">
              <w:rPr>
                <w:noProof/>
                <w:webHidden/>
              </w:rPr>
              <w:fldChar w:fldCharType="end"/>
            </w:r>
          </w:hyperlink>
        </w:p>
        <w:p w14:paraId="1AD8F9BB" w14:textId="43C738E6"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0" w:history="1">
            <w:r w:rsidR="0040117D" w:rsidRPr="006C70C8">
              <w:rPr>
                <w:rStyle w:val="Hyperlink"/>
                <w:noProof/>
              </w:rPr>
              <w:t>Izmaiņas Manipulāciju sarakstā no 01.01.2021.</w:t>
            </w:r>
            <w:r w:rsidR="0040117D">
              <w:rPr>
                <w:noProof/>
                <w:webHidden/>
              </w:rPr>
              <w:tab/>
            </w:r>
            <w:r w:rsidR="0040117D">
              <w:rPr>
                <w:noProof/>
                <w:webHidden/>
              </w:rPr>
              <w:fldChar w:fldCharType="begin"/>
            </w:r>
            <w:r w:rsidR="0040117D">
              <w:rPr>
                <w:noProof/>
                <w:webHidden/>
              </w:rPr>
              <w:instrText xml:space="preserve"> PAGEREF _Toc85445850 \h </w:instrText>
            </w:r>
            <w:r w:rsidR="0040117D">
              <w:rPr>
                <w:noProof/>
                <w:webHidden/>
              </w:rPr>
            </w:r>
            <w:r w:rsidR="0040117D">
              <w:rPr>
                <w:noProof/>
                <w:webHidden/>
              </w:rPr>
              <w:fldChar w:fldCharType="separate"/>
            </w:r>
            <w:r w:rsidR="00CD65F9">
              <w:rPr>
                <w:noProof/>
                <w:webHidden/>
              </w:rPr>
              <w:t>207</w:t>
            </w:r>
            <w:r w:rsidR="0040117D">
              <w:rPr>
                <w:noProof/>
                <w:webHidden/>
              </w:rPr>
              <w:fldChar w:fldCharType="end"/>
            </w:r>
          </w:hyperlink>
        </w:p>
        <w:p w14:paraId="10F128CB" w14:textId="53B6F6A3"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1" w:history="1">
            <w:r w:rsidR="0040117D" w:rsidRPr="006C70C8">
              <w:rPr>
                <w:rStyle w:val="Hyperlink"/>
                <w:noProof/>
              </w:rPr>
              <w:t>Izmaiņas Manipulāciju sarakstā no 01.10.2020</w:t>
            </w:r>
            <w:r w:rsidR="0040117D">
              <w:rPr>
                <w:noProof/>
                <w:webHidden/>
              </w:rPr>
              <w:tab/>
            </w:r>
            <w:r w:rsidR="0040117D">
              <w:rPr>
                <w:noProof/>
                <w:webHidden/>
              </w:rPr>
              <w:fldChar w:fldCharType="begin"/>
            </w:r>
            <w:r w:rsidR="0040117D">
              <w:rPr>
                <w:noProof/>
                <w:webHidden/>
              </w:rPr>
              <w:instrText xml:space="preserve"> PAGEREF _Toc85445851 \h </w:instrText>
            </w:r>
            <w:r w:rsidR="0040117D">
              <w:rPr>
                <w:noProof/>
                <w:webHidden/>
              </w:rPr>
            </w:r>
            <w:r w:rsidR="0040117D">
              <w:rPr>
                <w:noProof/>
                <w:webHidden/>
              </w:rPr>
              <w:fldChar w:fldCharType="separate"/>
            </w:r>
            <w:r w:rsidR="00CD65F9">
              <w:rPr>
                <w:noProof/>
                <w:webHidden/>
              </w:rPr>
              <w:t>279</w:t>
            </w:r>
            <w:r w:rsidR="0040117D">
              <w:rPr>
                <w:noProof/>
                <w:webHidden/>
              </w:rPr>
              <w:fldChar w:fldCharType="end"/>
            </w:r>
          </w:hyperlink>
        </w:p>
        <w:p w14:paraId="0EB6AD85" w14:textId="1601282D"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2" w:history="1">
            <w:r w:rsidR="0040117D" w:rsidRPr="006C70C8">
              <w:rPr>
                <w:rStyle w:val="Hyperlink"/>
                <w:noProof/>
              </w:rPr>
              <w:t>Izmaiņas Manipulāciju sarakstā no 01.07.2020</w:t>
            </w:r>
            <w:r w:rsidR="0040117D">
              <w:rPr>
                <w:noProof/>
                <w:webHidden/>
              </w:rPr>
              <w:tab/>
            </w:r>
            <w:r w:rsidR="0040117D">
              <w:rPr>
                <w:noProof/>
                <w:webHidden/>
              </w:rPr>
              <w:fldChar w:fldCharType="begin"/>
            </w:r>
            <w:r w:rsidR="0040117D">
              <w:rPr>
                <w:noProof/>
                <w:webHidden/>
              </w:rPr>
              <w:instrText xml:space="preserve"> PAGEREF _Toc85445852 \h </w:instrText>
            </w:r>
            <w:r w:rsidR="0040117D">
              <w:rPr>
                <w:noProof/>
                <w:webHidden/>
              </w:rPr>
            </w:r>
            <w:r w:rsidR="0040117D">
              <w:rPr>
                <w:noProof/>
                <w:webHidden/>
              </w:rPr>
              <w:fldChar w:fldCharType="separate"/>
            </w:r>
            <w:r w:rsidR="00CD65F9">
              <w:rPr>
                <w:noProof/>
                <w:webHidden/>
              </w:rPr>
              <w:t>312</w:t>
            </w:r>
            <w:r w:rsidR="0040117D">
              <w:rPr>
                <w:noProof/>
                <w:webHidden/>
              </w:rPr>
              <w:fldChar w:fldCharType="end"/>
            </w:r>
          </w:hyperlink>
        </w:p>
        <w:p w14:paraId="112B7C85" w14:textId="6ABF2FFD"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3" w:history="1">
            <w:r w:rsidR="0040117D" w:rsidRPr="006C70C8">
              <w:rPr>
                <w:rStyle w:val="Hyperlink"/>
                <w:noProof/>
              </w:rPr>
              <w:t>Izmaiņas Manipulāciju sarakstā no 01.04.2020</w:t>
            </w:r>
            <w:r w:rsidR="0040117D">
              <w:rPr>
                <w:noProof/>
                <w:webHidden/>
              </w:rPr>
              <w:tab/>
            </w:r>
            <w:r w:rsidR="0040117D">
              <w:rPr>
                <w:noProof/>
                <w:webHidden/>
              </w:rPr>
              <w:fldChar w:fldCharType="begin"/>
            </w:r>
            <w:r w:rsidR="0040117D">
              <w:rPr>
                <w:noProof/>
                <w:webHidden/>
              </w:rPr>
              <w:instrText xml:space="preserve"> PAGEREF _Toc85445853 \h </w:instrText>
            </w:r>
            <w:r w:rsidR="0040117D">
              <w:rPr>
                <w:noProof/>
                <w:webHidden/>
              </w:rPr>
            </w:r>
            <w:r w:rsidR="0040117D">
              <w:rPr>
                <w:noProof/>
                <w:webHidden/>
              </w:rPr>
              <w:fldChar w:fldCharType="separate"/>
            </w:r>
            <w:r w:rsidR="00CD65F9">
              <w:rPr>
                <w:noProof/>
                <w:webHidden/>
              </w:rPr>
              <w:t>332</w:t>
            </w:r>
            <w:r w:rsidR="0040117D">
              <w:rPr>
                <w:noProof/>
                <w:webHidden/>
              </w:rPr>
              <w:fldChar w:fldCharType="end"/>
            </w:r>
          </w:hyperlink>
        </w:p>
        <w:p w14:paraId="4C54AC71" w14:textId="6334C7C7"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4" w:history="1">
            <w:r w:rsidR="0040117D" w:rsidRPr="006C70C8">
              <w:rPr>
                <w:rStyle w:val="Hyperlink"/>
                <w:noProof/>
              </w:rPr>
              <w:t>Izmaiņas Manipulāciju sarakstā no 01.01.2020.</w:t>
            </w:r>
            <w:r w:rsidR="0040117D">
              <w:rPr>
                <w:noProof/>
                <w:webHidden/>
              </w:rPr>
              <w:tab/>
            </w:r>
            <w:r w:rsidR="0040117D">
              <w:rPr>
                <w:noProof/>
                <w:webHidden/>
              </w:rPr>
              <w:fldChar w:fldCharType="begin"/>
            </w:r>
            <w:r w:rsidR="0040117D">
              <w:rPr>
                <w:noProof/>
                <w:webHidden/>
              </w:rPr>
              <w:instrText xml:space="preserve"> PAGEREF _Toc85445854 \h </w:instrText>
            </w:r>
            <w:r w:rsidR="0040117D">
              <w:rPr>
                <w:noProof/>
                <w:webHidden/>
              </w:rPr>
            </w:r>
            <w:r w:rsidR="0040117D">
              <w:rPr>
                <w:noProof/>
                <w:webHidden/>
              </w:rPr>
              <w:fldChar w:fldCharType="separate"/>
            </w:r>
            <w:r w:rsidR="00CD65F9">
              <w:rPr>
                <w:noProof/>
                <w:webHidden/>
              </w:rPr>
              <w:t>344</w:t>
            </w:r>
            <w:r w:rsidR="0040117D">
              <w:rPr>
                <w:noProof/>
                <w:webHidden/>
              </w:rPr>
              <w:fldChar w:fldCharType="end"/>
            </w:r>
          </w:hyperlink>
        </w:p>
        <w:p w14:paraId="676858BE" w14:textId="35A6923D"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5" w:history="1">
            <w:r w:rsidR="0040117D" w:rsidRPr="006C70C8">
              <w:rPr>
                <w:rStyle w:val="Hyperlink"/>
                <w:noProof/>
              </w:rPr>
              <w:t>Izmaiņas Manipulāciju sarakstā no 01.10.2019</w:t>
            </w:r>
            <w:r w:rsidR="0040117D">
              <w:rPr>
                <w:noProof/>
                <w:webHidden/>
              </w:rPr>
              <w:tab/>
            </w:r>
            <w:r w:rsidR="0040117D">
              <w:rPr>
                <w:noProof/>
                <w:webHidden/>
              </w:rPr>
              <w:fldChar w:fldCharType="begin"/>
            </w:r>
            <w:r w:rsidR="0040117D">
              <w:rPr>
                <w:noProof/>
                <w:webHidden/>
              </w:rPr>
              <w:instrText xml:space="preserve"> PAGEREF _Toc85445855 \h </w:instrText>
            </w:r>
            <w:r w:rsidR="0040117D">
              <w:rPr>
                <w:noProof/>
                <w:webHidden/>
              </w:rPr>
            </w:r>
            <w:r w:rsidR="0040117D">
              <w:rPr>
                <w:noProof/>
                <w:webHidden/>
              </w:rPr>
              <w:fldChar w:fldCharType="separate"/>
            </w:r>
            <w:r w:rsidR="00CD65F9">
              <w:rPr>
                <w:noProof/>
                <w:webHidden/>
              </w:rPr>
              <w:t>360</w:t>
            </w:r>
            <w:r w:rsidR="0040117D">
              <w:rPr>
                <w:noProof/>
                <w:webHidden/>
              </w:rPr>
              <w:fldChar w:fldCharType="end"/>
            </w:r>
          </w:hyperlink>
        </w:p>
        <w:p w14:paraId="29216E3B" w14:textId="3DA7C81B"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6" w:history="1">
            <w:r w:rsidR="0040117D" w:rsidRPr="006C70C8">
              <w:rPr>
                <w:rStyle w:val="Hyperlink"/>
                <w:noProof/>
              </w:rPr>
              <w:t>Izmaiņas Manipulāciju sarakstā no 12.08.2019</w:t>
            </w:r>
            <w:r w:rsidR="0040117D">
              <w:rPr>
                <w:noProof/>
                <w:webHidden/>
              </w:rPr>
              <w:tab/>
            </w:r>
            <w:r w:rsidR="0040117D">
              <w:rPr>
                <w:noProof/>
                <w:webHidden/>
              </w:rPr>
              <w:fldChar w:fldCharType="begin"/>
            </w:r>
            <w:r w:rsidR="0040117D">
              <w:rPr>
                <w:noProof/>
                <w:webHidden/>
              </w:rPr>
              <w:instrText xml:space="preserve"> PAGEREF _Toc85445856 \h </w:instrText>
            </w:r>
            <w:r w:rsidR="0040117D">
              <w:rPr>
                <w:noProof/>
                <w:webHidden/>
              </w:rPr>
            </w:r>
            <w:r w:rsidR="0040117D">
              <w:rPr>
                <w:noProof/>
                <w:webHidden/>
              </w:rPr>
              <w:fldChar w:fldCharType="separate"/>
            </w:r>
            <w:r w:rsidR="00CD65F9">
              <w:rPr>
                <w:noProof/>
                <w:webHidden/>
              </w:rPr>
              <w:t>366</w:t>
            </w:r>
            <w:r w:rsidR="0040117D">
              <w:rPr>
                <w:noProof/>
                <w:webHidden/>
              </w:rPr>
              <w:fldChar w:fldCharType="end"/>
            </w:r>
          </w:hyperlink>
        </w:p>
        <w:p w14:paraId="028E94EB" w14:textId="70CEBD53"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7" w:history="1">
            <w:r w:rsidR="0040117D" w:rsidRPr="006C70C8">
              <w:rPr>
                <w:rStyle w:val="Hyperlink"/>
                <w:noProof/>
              </w:rPr>
              <w:t>Izmaiņas Manipulāciju sarakstā no 12.04.2019</w:t>
            </w:r>
            <w:r w:rsidR="0040117D">
              <w:rPr>
                <w:noProof/>
                <w:webHidden/>
              </w:rPr>
              <w:tab/>
            </w:r>
            <w:r w:rsidR="0040117D">
              <w:rPr>
                <w:noProof/>
                <w:webHidden/>
              </w:rPr>
              <w:fldChar w:fldCharType="begin"/>
            </w:r>
            <w:r w:rsidR="0040117D">
              <w:rPr>
                <w:noProof/>
                <w:webHidden/>
              </w:rPr>
              <w:instrText xml:space="preserve"> PAGEREF _Toc85445857 \h </w:instrText>
            </w:r>
            <w:r w:rsidR="0040117D">
              <w:rPr>
                <w:noProof/>
                <w:webHidden/>
              </w:rPr>
            </w:r>
            <w:r w:rsidR="0040117D">
              <w:rPr>
                <w:noProof/>
                <w:webHidden/>
              </w:rPr>
              <w:fldChar w:fldCharType="separate"/>
            </w:r>
            <w:r w:rsidR="00CD65F9">
              <w:rPr>
                <w:noProof/>
                <w:webHidden/>
              </w:rPr>
              <w:t>371</w:t>
            </w:r>
            <w:r w:rsidR="0040117D">
              <w:rPr>
                <w:noProof/>
                <w:webHidden/>
              </w:rPr>
              <w:fldChar w:fldCharType="end"/>
            </w:r>
          </w:hyperlink>
        </w:p>
        <w:p w14:paraId="32F3B9CA" w14:textId="1C9578A7"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8" w:history="1">
            <w:r w:rsidR="0040117D" w:rsidRPr="006C70C8">
              <w:rPr>
                <w:rStyle w:val="Hyperlink"/>
                <w:noProof/>
              </w:rPr>
              <w:t>Izmaiņas Manipulāciju sarakstā no 01.04.2019</w:t>
            </w:r>
            <w:r w:rsidR="0040117D">
              <w:rPr>
                <w:noProof/>
                <w:webHidden/>
              </w:rPr>
              <w:tab/>
            </w:r>
            <w:r w:rsidR="0040117D">
              <w:rPr>
                <w:noProof/>
                <w:webHidden/>
              </w:rPr>
              <w:fldChar w:fldCharType="begin"/>
            </w:r>
            <w:r w:rsidR="0040117D">
              <w:rPr>
                <w:noProof/>
                <w:webHidden/>
              </w:rPr>
              <w:instrText xml:space="preserve"> PAGEREF _Toc85445858 \h </w:instrText>
            </w:r>
            <w:r w:rsidR="0040117D">
              <w:rPr>
                <w:noProof/>
                <w:webHidden/>
              </w:rPr>
            </w:r>
            <w:r w:rsidR="0040117D">
              <w:rPr>
                <w:noProof/>
                <w:webHidden/>
              </w:rPr>
              <w:fldChar w:fldCharType="separate"/>
            </w:r>
            <w:r w:rsidR="00CD65F9">
              <w:rPr>
                <w:noProof/>
                <w:webHidden/>
              </w:rPr>
              <w:t>372</w:t>
            </w:r>
            <w:r w:rsidR="0040117D">
              <w:rPr>
                <w:noProof/>
                <w:webHidden/>
              </w:rPr>
              <w:fldChar w:fldCharType="end"/>
            </w:r>
          </w:hyperlink>
        </w:p>
        <w:p w14:paraId="4B2B39A0" w14:textId="2CDA663D"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59" w:history="1">
            <w:r w:rsidR="0040117D" w:rsidRPr="006C70C8">
              <w:rPr>
                <w:rStyle w:val="Hyperlink"/>
                <w:noProof/>
              </w:rPr>
              <w:t>Izmaiņas Manipulāciju sarakstā no 11.02.2019</w:t>
            </w:r>
            <w:r w:rsidR="0040117D">
              <w:rPr>
                <w:noProof/>
                <w:webHidden/>
              </w:rPr>
              <w:tab/>
            </w:r>
            <w:r w:rsidR="0040117D">
              <w:rPr>
                <w:noProof/>
                <w:webHidden/>
              </w:rPr>
              <w:fldChar w:fldCharType="begin"/>
            </w:r>
            <w:r w:rsidR="0040117D">
              <w:rPr>
                <w:noProof/>
                <w:webHidden/>
              </w:rPr>
              <w:instrText xml:space="preserve"> PAGEREF _Toc85445859 \h </w:instrText>
            </w:r>
            <w:r w:rsidR="0040117D">
              <w:rPr>
                <w:noProof/>
                <w:webHidden/>
              </w:rPr>
            </w:r>
            <w:r w:rsidR="0040117D">
              <w:rPr>
                <w:noProof/>
                <w:webHidden/>
              </w:rPr>
              <w:fldChar w:fldCharType="separate"/>
            </w:r>
            <w:r w:rsidR="00CD65F9">
              <w:rPr>
                <w:noProof/>
                <w:webHidden/>
              </w:rPr>
              <w:t>383</w:t>
            </w:r>
            <w:r w:rsidR="0040117D">
              <w:rPr>
                <w:noProof/>
                <w:webHidden/>
              </w:rPr>
              <w:fldChar w:fldCharType="end"/>
            </w:r>
          </w:hyperlink>
        </w:p>
        <w:p w14:paraId="544E854B" w14:textId="4D700A61"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60" w:history="1">
            <w:r w:rsidR="0040117D" w:rsidRPr="006C70C8">
              <w:rPr>
                <w:rStyle w:val="Hyperlink"/>
                <w:noProof/>
              </w:rPr>
              <w:t>Izmaiņas Manipulāciju sarakstā no 01.01.2019</w:t>
            </w:r>
            <w:r w:rsidR="0040117D">
              <w:rPr>
                <w:noProof/>
                <w:webHidden/>
              </w:rPr>
              <w:tab/>
            </w:r>
            <w:r w:rsidR="0040117D">
              <w:rPr>
                <w:noProof/>
                <w:webHidden/>
              </w:rPr>
              <w:fldChar w:fldCharType="begin"/>
            </w:r>
            <w:r w:rsidR="0040117D">
              <w:rPr>
                <w:noProof/>
                <w:webHidden/>
              </w:rPr>
              <w:instrText xml:space="preserve"> PAGEREF _Toc85445860 \h </w:instrText>
            </w:r>
            <w:r w:rsidR="0040117D">
              <w:rPr>
                <w:noProof/>
                <w:webHidden/>
              </w:rPr>
            </w:r>
            <w:r w:rsidR="0040117D">
              <w:rPr>
                <w:noProof/>
                <w:webHidden/>
              </w:rPr>
              <w:fldChar w:fldCharType="separate"/>
            </w:r>
            <w:r w:rsidR="00CD65F9">
              <w:rPr>
                <w:noProof/>
                <w:webHidden/>
              </w:rPr>
              <w:t>384</w:t>
            </w:r>
            <w:r w:rsidR="0040117D">
              <w:rPr>
                <w:noProof/>
                <w:webHidden/>
              </w:rPr>
              <w:fldChar w:fldCharType="end"/>
            </w:r>
          </w:hyperlink>
        </w:p>
        <w:p w14:paraId="635C63BD" w14:textId="3F91E01F"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61" w:history="1">
            <w:r w:rsidR="0040117D" w:rsidRPr="006C70C8">
              <w:rPr>
                <w:rStyle w:val="Hyperlink"/>
                <w:noProof/>
              </w:rPr>
              <w:t>Izmaiņas Manipulāciju sarakstā no 23.10.2018</w:t>
            </w:r>
            <w:r w:rsidR="0040117D">
              <w:rPr>
                <w:noProof/>
                <w:webHidden/>
              </w:rPr>
              <w:tab/>
            </w:r>
            <w:r w:rsidR="0040117D">
              <w:rPr>
                <w:noProof/>
                <w:webHidden/>
              </w:rPr>
              <w:fldChar w:fldCharType="begin"/>
            </w:r>
            <w:r w:rsidR="0040117D">
              <w:rPr>
                <w:noProof/>
                <w:webHidden/>
              </w:rPr>
              <w:instrText xml:space="preserve"> PAGEREF _Toc85445861 \h </w:instrText>
            </w:r>
            <w:r w:rsidR="0040117D">
              <w:rPr>
                <w:noProof/>
                <w:webHidden/>
              </w:rPr>
            </w:r>
            <w:r w:rsidR="0040117D">
              <w:rPr>
                <w:noProof/>
                <w:webHidden/>
              </w:rPr>
              <w:fldChar w:fldCharType="separate"/>
            </w:r>
            <w:r w:rsidR="00CD65F9">
              <w:rPr>
                <w:noProof/>
                <w:webHidden/>
              </w:rPr>
              <w:t>390</w:t>
            </w:r>
            <w:r w:rsidR="0040117D">
              <w:rPr>
                <w:noProof/>
                <w:webHidden/>
              </w:rPr>
              <w:fldChar w:fldCharType="end"/>
            </w:r>
          </w:hyperlink>
        </w:p>
        <w:p w14:paraId="6A6B2D2A" w14:textId="55D0CA30" w:rsidR="0040117D" w:rsidRDefault="0049260D">
          <w:pPr>
            <w:pStyle w:val="TOC1"/>
            <w:tabs>
              <w:tab w:val="right" w:leader="dot" w:pos="15390"/>
            </w:tabs>
            <w:rPr>
              <w:rFonts w:asciiTheme="minorHAnsi" w:eastAsiaTheme="minorEastAsia" w:hAnsiTheme="minorHAnsi" w:cstheme="minorBidi"/>
              <w:noProof/>
              <w:sz w:val="22"/>
              <w:szCs w:val="22"/>
              <w:lang w:eastAsia="lv-LV"/>
            </w:rPr>
          </w:pPr>
          <w:hyperlink w:anchor="_Toc85445862" w:history="1">
            <w:r w:rsidR="0040117D" w:rsidRPr="006C70C8">
              <w:rPr>
                <w:rStyle w:val="Hyperlink"/>
                <w:noProof/>
              </w:rPr>
              <w:t>Izmaiņas Manipulāciju sarakstā no 01.09.2018</w:t>
            </w:r>
            <w:r w:rsidR="0040117D">
              <w:rPr>
                <w:noProof/>
                <w:webHidden/>
              </w:rPr>
              <w:tab/>
            </w:r>
            <w:r w:rsidR="0040117D">
              <w:rPr>
                <w:noProof/>
                <w:webHidden/>
              </w:rPr>
              <w:fldChar w:fldCharType="begin"/>
            </w:r>
            <w:r w:rsidR="0040117D">
              <w:rPr>
                <w:noProof/>
                <w:webHidden/>
              </w:rPr>
              <w:instrText xml:space="preserve"> PAGEREF _Toc85445862 \h </w:instrText>
            </w:r>
            <w:r w:rsidR="0040117D">
              <w:rPr>
                <w:noProof/>
                <w:webHidden/>
              </w:rPr>
            </w:r>
            <w:r w:rsidR="0040117D">
              <w:rPr>
                <w:noProof/>
                <w:webHidden/>
              </w:rPr>
              <w:fldChar w:fldCharType="separate"/>
            </w:r>
            <w:r w:rsidR="00CD65F9">
              <w:rPr>
                <w:noProof/>
                <w:webHidden/>
              </w:rPr>
              <w:t>394</w:t>
            </w:r>
            <w:r w:rsidR="0040117D">
              <w:rPr>
                <w:noProof/>
                <w:webHidden/>
              </w:rPr>
              <w:fldChar w:fldCharType="end"/>
            </w:r>
          </w:hyperlink>
        </w:p>
        <w:p w14:paraId="70AD1DCD" w14:textId="4C6917D2" w:rsidR="0040117D" w:rsidRDefault="0040117D">
          <w:r>
            <w:rPr>
              <w:b/>
              <w:bCs/>
              <w:noProof/>
            </w:rPr>
            <w:fldChar w:fldCharType="end"/>
          </w:r>
        </w:p>
      </w:sdtContent>
    </w:sdt>
    <w:p w14:paraId="20F00232" w14:textId="318CA38A" w:rsidR="000A671C" w:rsidRDefault="000A671C"/>
    <w:p w14:paraId="2D7EFA2D" w14:textId="77777777" w:rsidR="005F693E" w:rsidRDefault="000A671C">
      <w:r>
        <w:br w:type="page"/>
      </w:r>
    </w:p>
    <w:p w14:paraId="42A52B08" w14:textId="4C2501A7" w:rsidR="006629DB" w:rsidRPr="00370DA3" w:rsidRDefault="006629DB" w:rsidP="0040117D">
      <w:pPr>
        <w:pStyle w:val="Heading1"/>
        <w:ind w:left="0" w:firstLine="426"/>
      </w:pPr>
      <w:bookmarkStart w:id="0" w:name="_Toc85445840"/>
      <w:r w:rsidRPr="0005598C">
        <w:rPr>
          <w:sz w:val="24"/>
          <w:szCs w:val="24"/>
        </w:rPr>
        <w:lastRenderedPageBreak/>
        <w:t xml:space="preserve">Izmaiņas </w:t>
      </w:r>
      <w:r>
        <w:rPr>
          <w:sz w:val="24"/>
          <w:szCs w:val="24"/>
        </w:rPr>
        <w:t>Manipulāciju sarakstā no</w:t>
      </w:r>
      <w:r w:rsidRPr="0005598C">
        <w:rPr>
          <w:sz w:val="24"/>
          <w:szCs w:val="24"/>
        </w:rPr>
        <w:t xml:space="preserve"> </w:t>
      </w:r>
      <w:r>
        <w:rPr>
          <w:sz w:val="24"/>
          <w:szCs w:val="24"/>
        </w:rPr>
        <w:t>15</w:t>
      </w:r>
      <w:r w:rsidRPr="0005598C">
        <w:rPr>
          <w:sz w:val="24"/>
          <w:szCs w:val="24"/>
        </w:rPr>
        <w:t>.10.2021.</w:t>
      </w:r>
      <w:bookmarkEnd w:id="0"/>
    </w:p>
    <w:p w14:paraId="55709843" w14:textId="77777777" w:rsidR="006629DB" w:rsidRDefault="006629DB" w:rsidP="006629DB">
      <w:pPr>
        <w:rPr>
          <w:b/>
          <w:bCs/>
          <w:sz w:val="24"/>
          <w:szCs w:val="24"/>
        </w:rPr>
      </w:pPr>
    </w:p>
    <w:p w14:paraId="5B8E31AF" w14:textId="77777777" w:rsidR="006629DB" w:rsidRPr="00F82CB9" w:rsidRDefault="006629DB" w:rsidP="006629DB">
      <w:pPr>
        <w:pStyle w:val="ListParagraph"/>
        <w:numPr>
          <w:ilvl w:val="0"/>
          <w:numId w:val="34"/>
        </w:numPr>
        <w:rPr>
          <w:b/>
          <w:bCs/>
          <w:sz w:val="24"/>
          <w:szCs w:val="24"/>
        </w:rPr>
      </w:pPr>
      <w:r>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F255B9">
        <w:trPr>
          <w:trHeight w:val="2599"/>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w:t>
            </w:r>
            <w:r w:rsidRPr="00F255B9">
              <w:rPr>
                <w:color w:val="000000"/>
                <w:sz w:val="18"/>
                <w:szCs w:val="18"/>
                <w:lang w:eastAsia="lv-LV"/>
              </w:rPr>
              <w:lastRenderedPageBreak/>
              <w:t xml:space="preserve">vakcināciju. Vienam 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Manipulāciju apmaksā  SIA “Rīgas Austrumu klīniskā universitātes slimnīca”, SIA “Paula Stradiņa klīniskā </w:t>
            </w:r>
            <w:r w:rsidRPr="00F255B9">
              <w:rPr>
                <w:color w:val="000000"/>
                <w:sz w:val="18"/>
                <w:szCs w:val="18"/>
                <w:lang w:eastAsia="lv-LV"/>
              </w:rPr>
              <w:lastRenderedPageBreak/>
              <w:t>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 xml:space="preserve">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w:t>
            </w:r>
            <w:r w:rsidRPr="00F255B9">
              <w:rPr>
                <w:color w:val="000000"/>
                <w:sz w:val="18"/>
                <w:szCs w:val="18"/>
              </w:rPr>
              <w:lastRenderedPageBreak/>
              <w:t>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7777777" w:rsidR="00B67BD6" w:rsidRDefault="00B67BD6"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7D265602" w:rsidR="00A50601" w:rsidRPr="00B67BD6" w:rsidRDefault="006629DB" w:rsidP="00B67BD6">
      <w:pPr>
        <w:pStyle w:val="ListParagraph"/>
        <w:widowControl/>
        <w:numPr>
          <w:ilvl w:val="0"/>
          <w:numId w:val="34"/>
        </w:numPr>
        <w:autoSpaceDE/>
        <w:autoSpaceDN/>
        <w:spacing w:after="160" w:line="259" w:lineRule="auto"/>
      </w:pPr>
      <w:r w:rsidRPr="00B67BD6">
        <w:rPr>
          <w:b/>
          <w:bCs/>
          <w:sz w:val="24"/>
          <w:szCs w:val="24"/>
        </w:rPr>
        <w:lastRenderedPageBreak/>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B67BD6">
        <w:trPr>
          <w:trHeight w:val="3558"/>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B67BD6">
        <w:trPr>
          <w:trHeight w:val="1264"/>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xml:space="preserve">Citās sadaļās neiekļautās </w:t>
            </w:r>
            <w:r w:rsidRPr="004774E8">
              <w:rPr>
                <w:color w:val="000000"/>
                <w:sz w:val="18"/>
                <w:szCs w:val="18"/>
                <w:lang w:eastAsia="lv-LV"/>
              </w:rPr>
              <w:lastRenderedPageBreak/>
              <w:t>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lastRenderedPageBreak/>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w:t>
            </w:r>
            <w:r w:rsidRPr="004774E8">
              <w:rPr>
                <w:color w:val="000000"/>
                <w:sz w:val="18"/>
                <w:szCs w:val="18"/>
                <w:lang w:eastAsia="lv-LV"/>
              </w:rPr>
              <w:lastRenderedPageBreak/>
              <w:t>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lastRenderedPageBreak/>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w:t>
            </w:r>
            <w:r w:rsidRPr="004774E8">
              <w:rPr>
                <w:color w:val="000000"/>
                <w:sz w:val="18"/>
                <w:szCs w:val="18"/>
                <w:lang w:eastAsia="lv-LV"/>
              </w:rPr>
              <w:lastRenderedPageBreak/>
              <w:t>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perorāli lietojamu papildus medicīnisko uzturu vienam pacientam par vienu diennakti. Nenorādīt kopā ar manipulācijām 04198 un </w:t>
            </w:r>
            <w:r w:rsidRPr="004774E8">
              <w:rPr>
                <w:color w:val="000000"/>
                <w:sz w:val="18"/>
                <w:szCs w:val="18"/>
                <w:lang w:eastAsia="lv-LV"/>
              </w:rPr>
              <w:lastRenderedPageBreak/>
              <w:t>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 xml:space="preserve">Manipulācija tiek </w:t>
            </w:r>
            <w:r w:rsidRPr="004774E8">
              <w:rPr>
                <w:strike/>
                <w:color w:val="000000"/>
                <w:sz w:val="18"/>
                <w:szCs w:val="18"/>
                <w:lang w:eastAsia="lv-LV"/>
              </w:rPr>
              <w:lastRenderedPageBreak/>
              <w:t>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Manipulācijas tarifā iekļautas reaģentu izmaksas. Manipulāciju nenorāda kopā ar 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lastRenderedPageBreak/>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r>
            <w:r w:rsidRPr="004774E8">
              <w:rPr>
                <w:sz w:val="18"/>
                <w:szCs w:val="18"/>
                <w:lang w:eastAsia="lv-LV"/>
              </w:rPr>
              <w:lastRenderedPageBreak/>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lastRenderedPageBreak/>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bookmarkStart w:id="1" w:name="_Toc85445841"/>
    </w:p>
    <w:p w14:paraId="4B56C63A" w14:textId="7423D088" w:rsidR="00FD07AF" w:rsidRDefault="00FD07AF" w:rsidP="00B67BD6">
      <w:pPr>
        <w:pStyle w:val="Heading1"/>
        <w:ind w:left="0"/>
      </w:pPr>
      <w:r w:rsidRPr="002D3E77">
        <w:t xml:space="preserve">Izmaiņas Manipulāciju sarakstā </w:t>
      </w:r>
      <w:r w:rsidR="00106720">
        <w:t>no</w:t>
      </w:r>
      <w:r w:rsidRPr="002D3E77">
        <w:t xml:space="preserve"> 01.10.2021.</w:t>
      </w:r>
      <w:bookmarkEnd w:id="1"/>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B732FB">
        <w:trPr>
          <w:trHeight w:val="287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lastRenderedPageBreak/>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905EC4F" w14:textId="0B87F205" w:rsidR="00E84CE3" w:rsidRPr="00D61347" w:rsidRDefault="002B43D2" w:rsidP="00D61347">
            <w:pPr>
              <w:jc w:val="center"/>
              <w:rPr>
                <w:sz w:val="18"/>
                <w:szCs w:val="18"/>
              </w:rPr>
            </w:pPr>
            <w:r w:rsidRPr="002B43D2">
              <w:rPr>
                <w:sz w:val="18"/>
                <w:szCs w:val="18"/>
              </w:rPr>
              <w:t>Ģenētika</w:t>
            </w:r>
          </w:p>
          <w:p w14:paraId="6FB0E750" w14:textId="14CD973E"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407092BB" w:rsidR="002B43D2" w:rsidRPr="002B43D2" w:rsidRDefault="002B43D2" w:rsidP="002B43D2">
            <w:pPr>
              <w:jc w:val="center"/>
              <w:rPr>
                <w:color w:val="000000"/>
                <w:sz w:val="18"/>
                <w:szCs w:val="18"/>
                <w:lang w:eastAsia="lv-LV"/>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76C69242"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w:t>
            </w:r>
            <w:r w:rsidRPr="002B43D2">
              <w:rPr>
                <w:sz w:val="18"/>
                <w:szCs w:val="18"/>
              </w:rPr>
              <w:lastRenderedPageBreak/>
              <w:t xml:space="preserve">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5252CF">
        <w:trPr>
          <w:trHeight w:val="3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732FB">
        <w:trPr>
          <w:trHeight w:val="156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5C553852" w:rsidR="00693EEE" w:rsidRPr="002B43D2" w:rsidRDefault="00693EEE" w:rsidP="00693EEE">
            <w:pPr>
              <w:jc w:val="center"/>
              <w:rPr>
                <w:color w:val="000000"/>
                <w:sz w:val="18"/>
                <w:szCs w:val="18"/>
              </w:rPr>
            </w:pPr>
            <w:r w:rsidRPr="002B43D2">
              <w:rPr>
                <w:sz w:val="18"/>
                <w:szCs w:val="18"/>
              </w:rPr>
              <w:t>3.54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77777777" w:rsidR="00733E2A" w:rsidRDefault="00733E2A"/>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 xml:space="preserve">Norāda par katru ārstniecības </w:t>
            </w:r>
            <w:r w:rsidRPr="002B43D2">
              <w:rPr>
                <w:sz w:val="18"/>
                <w:szCs w:val="18"/>
              </w:rPr>
              <w:lastRenderedPageBreak/>
              <w:t>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lastRenderedPageBreak/>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w:t>
            </w:r>
            <w:r w:rsidRPr="002B43D2">
              <w:rPr>
                <w:sz w:val="18"/>
                <w:szCs w:val="18"/>
              </w:rPr>
              <w:lastRenderedPageBreak/>
              <w:t>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 xml:space="preserve">Piemaksa par laiku un individuālajiem aizsardzības līdzekļiem epidemioloģiskās drošības pasākumu nodrošināšanai ārstniecības un pacientu aprūpes personām un funkcionālo </w:t>
            </w:r>
            <w:r w:rsidRPr="00E75E5B">
              <w:rPr>
                <w:color w:val="000000"/>
                <w:sz w:val="18"/>
                <w:szCs w:val="18"/>
              </w:rPr>
              <w:lastRenderedPageBreak/>
              <w:t>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lastRenderedPageBreak/>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w:t>
            </w:r>
            <w:r w:rsidRPr="002B43D2">
              <w:rPr>
                <w:sz w:val="18"/>
                <w:szCs w:val="18"/>
              </w:rPr>
              <w:lastRenderedPageBreak/>
              <w:t xml:space="preserve">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medicīnas centrs”, AS "Veselības </w:t>
            </w:r>
            <w:r w:rsidRPr="002B43D2">
              <w:rPr>
                <w:sz w:val="18"/>
                <w:szCs w:val="18"/>
              </w:rPr>
              <w:lastRenderedPageBreak/>
              <w:t>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Piemaksa par laiku un individuālajiem aizsardzības līdzekļiem epidemioloģiskās drošības pasākumu nodrošināšanai ārstniecības un pacientu aprūpes personām zobārstniecības pakalpojumu nodrošināšanai 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lastRenderedPageBreak/>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733E2A">
        <w:trPr>
          <w:trHeight w:val="79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733E2A">
        <w:trPr>
          <w:trHeight w:val="121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733E2A">
        <w:trPr>
          <w:trHeight w:val="98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466B0FD8" w:rsidR="00E94EE2" w:rsidRPr="00E94EE2" w:rsidRDefault="00E94EE2" w:rsidP="00E94EE2">
            <w:pPr>
              <w:jc w:val="center"/>
              <w:rPr>
                <w:sz w:val="18"/>
                <w:szCs w:val="18"/>
              </w:rPr>
            </w:pPr>
            <w:r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68AAA53E" w14:textId="77777777" w:rsidR="00E76502" w:rsidRPr="00525440" w:rsidRDefault="00E76502" w:rsidP="00E76502"/>
    <w:p w14:paraId="327BBBDF" w14:textId="7D5A725B" w:rsidR="00075CFA" w:rsidRDefault="00075CFA" w:rsidP="00B732FB">
      <w:pPr>
        <w:rPr>
          <w:b/>
          <w:bCs/>
          <w:sz w:val="28"/>
          <w:szCs w:val="28"/>
        </w:rPr>
      </w:pPr>
    </w:p>
    <w:p w14:paraId="11E20FE3" w14:textId="109524A1" w:rsidR="00ED282B" w:rsidRDefault="00ED282B" w:rsidP="00B732FB">
      <w:pPr>
        <w:rPr>
          <w:b/>
          <w:bCs/>
          <w:sz w:val="28"/>
          <w:szCs w:val="28"/>
        </w:rPr>
      </w:pPr>
    </w:p>
    <w:p w14:paraId="44AAFDB1" w14:textId="6ED35AE5" w:rsidR="00733E2A" w:rsidRDefault="00733E2A" w:rsidP="00B732FB">
      <w:pPr>
        <w:rPr>
          <w:b/>
          <w:bCs/>
          <w:sz w:val="28"/>
          <w:szCs w:val="28"/>
        </w:rPr>
      </w:pPr>
    </w:p>
    <w:p w14:paraId="3D52FD1A" w14:textId="33C4964D" w:rsidR="00733E2A" w:rsidRDefault="00733E2A" w:rsidP="00B732FB">
      <w:pPr>
        <w:rPr>
          <w:b/>
          <w:bCs/>
          <w:sz w:val="28"/>
          <w:szCs w:val="28"/>
        </w:rPr>
      </w:pPr>
    </w:p>
    <w:p w14:paraId="17C6E93B" w14:textId="44EE4D6E" w:rsidR="00733E2A" w:rsidRDefault="00733E2A" w:rsidP="00B732FB">
      <w:pPr>
        <w:rPr>
          <w:b/>
          <w:bCs/>
          <w:sz w:val="28"/>
          <w:szCs w:val="28"/>
        </w:rPr>
      </w:pPr>
    </w:p>
    <w:p w14:paraId="051D5C5E" w14:textId="526D28BC" w:rsidR="00733E2A" w:rsidRDefault="00733E2A" w:rsidP="00B732FB">
      <w:pPr>
        <w:rPr>
          <w:b/>
          <w:bCs/>
          <w:sz w:val="28"/>
          <w:szCs w:val="28"/>
        </w:rPr>
      </w:pPr>
    </w:p>
    <w:p w14:paraId="40C0A30B" w14:textId="393BA24E" w:rsidR="00733E2A" w:rsidRDefault="00733E2A" w:rsidP="00B732FB">
      <w:pPr>
        <w:rPr>
          <w:b/>
          <w:bCs/>
          <w:sz w:val="28"/>
          <w:szCs w:val="28"/>
        </w:rPr>
      </w:pPr>
    </w:p>
    <w:p w14:paraId="3FCE64DA" w14:textId="6BFFC2DA" w:rsidR="00733E2A" w:rsidRDefault="00733E2A" w:rsidP="00B732FB">
      <w:pPr>
        <w:rPr>
          <w:b/>
          <w:bCs/>
          <w:sz w:val="28"/>
          <w:szCs w:val="28"/>
        </w:rPr>
      </w:pPr>
    </w:p>
    <w:p w14:paraId="4DE32639" w14:textId="1E3E2A75" w:rsidR="00733E2A" w:rsidRDefault="00733E2A" w:rsidP="00B732FB">
      <w:pPr>
        <w:rPr>
          <w:b/>
          <w:bCs/>
          <w:sz w:val="28"/>
          <w:szCs w:val="28"/>
        </w:rPr>
      </w:pPr>
    </w:p>
    <w:p w14:paraId="51EF847F" w14:textId="6CBAEC9A" w:rsidR="00733E2A" w:rsidRDefault="00733E2A" w:rsidP="00B732FB">
      <w:pPr>
        <w:rPr>
          <w:b/>
          <w:bCs/>
          <w:sz w:val="28"/>
          <w:szCs w:val="28"/>
        </w:rPr>
      </w:pPr>
    </w:p>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lastRenderedPageBreak/>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27D4269E" w14:textId="11410B9E" w:rsidR="00C361EF" w:rsidRDefault="00C361EF">
      <w:pPr>
        <w:rPr>
          <w:b/>
          <w:bCs/>
          <w:sz w:val="28"/>
          <w:szCs w:val="28"/>
        </w:rPr>
      </w:pPr>
    </w:p>
    <w:p w14:paraId="07675BE8" w14:textId="233D8CE7" w:rsidR="00FA511D" w:rsidRDefault="00FA511D">
      <w:pPr>
        <w:rPr>
          <w:b/>
          <w:bCs/>
          <w:sz w:val="28"/>
          <w:szCs w:val="28"/>
        </w:rPr>
      </w:pPr>
    </w:p>
    <w:p w14:paraId="73A1BE88" w14:textId="43170B25" w:rsidR="00FA511D" w:rsidRDefault="00B732FB">
      <w:pPr>
        <w:rPr>
          <w:b/>
          <w:bCs/>
          <w:sz w:val="28"/>
          <w:szCs w:val="28"/>
        </w:rPr>
      </w:pPr>
      <w:r>
        <w:rPr>
          <w:b/>
          <w:bCs/>
          <w:sz w:val="28"/>
          <w:szCs w:val="28"/>
        </w:rPr>
        <w:br w:type="page"/>
      </w:r>
    </w:p>
    <w:p w14:paraId="32529121" w14:textId="77777777" w:rsidR="00FA511D" w:rsidRDefault="00FA511D">
      <w:pPr>
        <w:rPr>
          <w:b/>
          <w:bCs/>
          <w:sz w:val="28"/>
          <w:szCs w:val="28"/>
        </w:rPr>
      </w:pPr>
    </w:p>
    <w:p w14:paraId="412FA2AB" w14:textId="61C5777E" w:rsidR="005F693E" w:rsidRDefault="005F693E" w:rsidP="00911D3A">
      <w:pPr>
        <w:pStyle w:val="Heading1"/>
      </w:pPr>
      <w:bookmarkStart w:id="2" w:name="_Toc85445842"/>
      <w:r w:rsidRPr="002D3E77">
        <w:t xml:space="preserve">Izmaiņas Manipulāciju sarakstā </w:t>
      </w:r>
      <w:r w:rsidR="00211076">
        <w:t>no</w:t>
      </w:r>
      <w:r w:rsidRPr="002D3E77">
        <w:t xml:space="preserve"> 11.08.2021.</w:t>
      </w:r>
      <w:bookmarkEnd w:id="2"/>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D5574D">
        <w:trPr>
          <w:trHeight w:val="204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00510654" w:rsidR="00911D3A" w:rsidRDefault="00911D3A"/>
    <w:p w14:paraId="3F6C84BB" w14:textId="77777777" w:rsidR="00FA511D" w:rsidRDefault="00FA511D"/>
    <w:p w14:paraId="394DC9A0" w14:textId="0C38A88C" w:rsidR="00D5574D" w:rsidRDefault="00D5574D" w:rsidP="00911D3A">
      <w:pPr>
        <w:pStyle w:val="Heading1"/>
      </w:pPr>
      <w:bookmarkStart w:id="3" w:name="_Toc85445843"/>
      <w:r w:rsidRPr="00726321">
        <w:t xml:space="preserve">Izmaiņas Manipulāciju sarakstā </w:t>
      </w:r>
      <w:r w:rsidR="00211076">
        <w:t>no</w:t>
      </w:r>
      <w:r w:rsidRPr="00726321">
        <w:t xml:space="preserve"> 12.07.2021.</w:t>
      </w:r>
      <w:bookmarkEnd w:id="3"/>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w:t>
            </w:r>
            <w:r w:rsidRPr="00D5574D">
              <w:rPr>
                <w:sz w:val="18"/>
                <w:szCs w:val="18"/>
              </w:rPr>
              <w:lastRenderedPageBreak/>
              <w:t xml:space="preserve">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lastRenderedPageBreak/>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lastRenderedPageBreak/>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4" w:name="_Toc85445844"/>
      <w:bookmarkStart w:id="5" w:name="_Hlk67575057"/>
      <w:r>
        <w:lastRenderedPageBreak/>
        <w:t>Izmaiņas Manipulāciju sarakstā ar 01.07.2021.</w:t>
      </w:r>
      <w:bookmarkEnd w:id="4"/>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3C4974">
        <w:trPr>
          <w:trHeight w:val="85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C224DF">
        <w:trPr>
          <w:trHeight w:val="1530"/>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2F7FC2">
        <w:trPr>
          <w:trHeight w:val="277"/>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lastRenderedPageBreak/>
              <w:t>nonorāda</w:t>
            </w:r>
            <w:proofErr w:type="spellEnd"/>
            <w:r>
              <w:rPr>
                <w:sz w:val="20"/>
                <w:szCs w:val="20"/>
              </w:rPr>
              <w:t xml:space="preserve"> kopā ar 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w:t>
            </w:r>
            <w:r w:rsidRPr="00F062E0">
              <w:rPr>
                <w:color w:val="000000"/>
                <w:sz w:val="20"/>
                <w:szCs w:val="20"/>
                <w:lang w:eastAsia="lv-LV"/>
              </w:rPr>
              <w:lastRenderedPageBreak/>
              <w:t xml:space="preserve">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w:t>
            </w:r>
            <w:r w:rsidRPr="00F062E0">
              <w:rPr>
                <w:sz w:val="20"/>
                <w:szCs w:val="20"/>
                <w:lang w:eastAsia="lv-LV"/>
              </w:rPr>
              <w:lastRenderedPageBreak/>
              <w:t>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lastRenderedPageBreak/>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apmaksā dzemdību atsāpināšanai medicīnisku indikāciju </w:t>
            </w:r>
            <w:r w:rsidRPr="00F062E0">
              <w:rPr>
                <w:color w:val="000000"/>
                <w:sz w:val="20"/>
                <w:szCs w:val="20"/>
                <w:lang w:eastAsia="lv-LV"/>
              </w:rPr>
              <w:lastRenderedPageBreak/>
              <w:t>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w:t>
            </w:r>
            <w:r w:rsidRPr="00F062E0">
              <w:rPr>
                <w:color w:val="000000"/>
                <w:sz w:val="20"/>
                <w:szCs w:val="20"/>
                <w:lang w:eastAsia="lv-LV"/>
              </w:rPr>
              <w:lastRenderedPageBreak/>
              <w:t>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C55215D" w14:textId="77777777" w:rsidTr="002F7FC2">
        <w:trPr>
          <w:trHeight w:val="107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w:t>
            </w:r>
            <w:r w:rsidRPr="00F062E0">
              <w:rPr>
                <w:color w:val="000000"/>
                <w:sz w:val="20"/>
                <w:szCs w:val="20"/>
                <w:lang w:eastAsia="lv-LV"/>
              </w:rPr>
              <w:lastRenderedPageBreak/>
              <w:t>papildus nepieciešamo finansējumu veido abu manipulāciju starpība, jo bērniem vecumā no 1,5 – 3 gadiem līdzšinējo 9.71 EUR turpmāk veiks maksājumu 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77777777" w:rsidR="00997838" w:rsidRPr="00F062E0" w:rsidRDefault="00997838" w:rsidP="003C4974">
            <w:pPr>
              <w:rPr>
                <w:sz w:val="20"/>
                <w:szCs w:val="20"/>
                <w:lang w:eastAsia="lv-LV"/>
              </w:rPr>
            </w:pPr>
            <w:r w:rsidRPr="00F062E0">
              <w:rPr>
                <w:sz w:val="20"/>
                <w:szCs w:val="20"/>
                <w:lang w:eastAsia="lv-LV"/>
              </w:rPr>
              <w:b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6" w:name="_Hlk76128431"/>
            <w:r w:rsidRPr="00983E1E">
              <w:rPr>
                <w:sz w:val="20"/>
                <w:szCs w:val="20"/>
              </w:rPr>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6"/>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997838">
        <w:trPr>
          <w:trHeight w:val="1000"/>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CF59EC">
        <w:trPr>
          <w:trHeight w:val="574"/>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7" w:name="_Toc85445845"/>
      <w:r w:rsidRPr="00B00D7E">
        <w:lastRenderedPageBreak/>
        <w:t>Izmaiņas Manipulāciju sarakstā ar 01.0</w:t>
      </w:r>
      <w:r>
        <w:t>6</w:t>
      </w:r>
      <w:r w:rsidRPr="00B00D7E">
        <w:t>.2021.</w:t>
      </w:r>
      <w:bookmarkEnd w:id="7"/>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8" w:name="_Toc85445846"/>
      <w:r>
        <w:t xml:space="preserve">Izmaiņas </w:t>
      </w:r>
      <w:r w:rsidRPr="0047385B">
        <w:t>Manipulāciju sarakst</w:t>
      </w:r>
      <w:r>
        <w:t>ā</w:t>
      </w:r>
      <w:r w:rsidRPr="0047385B">
        <w:t xml:space="preserve"> ar </w:t>
      </w:r>
      <w:r>
        <w:t>01.05</w:t>
      </w:r>
      <w:r w:rsidRPr="0047385B">
        <w:t>.2021.</w:t>
      </w:r>
      <w:bookmarkEnd w:id="8"/>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F22798">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lastRenderedPageBreak/>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9"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9"/>
    </w:tbl>
    <w:p w14:paraId="5AC53933" w14:textId="688A569C" w:rsidR="001910DF" w:rsidRDefault="001910DF" w:rsidP="001910DF">
      <w:pPr>
        <w:rPr>
          <w:sz w:val="20"/>
          <w:szCs w:val="20"/>
        </w:rPr>
      </w:pPr>
    </w:p>
    <w:p w14:paraId="45C1BB28" w14:textId="77777777" w:rsidR="002051D5" w:rsidRDefault="002051D5">
      <w:pPr>
        <w:rPr>
          <w:b/>
          <w:bCs/>
          <w:sz w:val="28"/>
          <w:szCs w:val="28"/>
        </w:rPr>
      </w:pPr>
      <w:r>
        <w:br w:type="page"/>
      </w:r>
    </w:p>
    <w:p w14:paraId="1C50A8C2" w14:textId="6DB922C2" w:rsidR="001D183E" w:rsidRDefault="001D183E" w:rsidP="001D183E">
      <w:pPr>
        <w:pStyle w:val="Heading1"/>
      </w:pPr>
      <w:bookmarkStart w:id="10" w:name="_Toc85445847"/>
      <w:r>
        <w:lastRenderedPageBreak/>
        <w:t>Izmaiņas M</w:t>
      </w:r>
      <w:r w:rsidRPr="0047385B">
        <w:t>anipulāciju sarak</w:t>
      </w:r>
      <w:r>
        <w:t xml:space="preserve">stā </w:t>
      </w:r>
      <w:r w:rsidRPr="0047385B">
        <w:t>ar 22.02.2021.</w:t>
      </w:r>
      <w:bookmarkEnd w:id="10"/>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11"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11"/>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12" w:name="_Toc85445848"/>
      <w:r w:rsidRPr="00C64471">
        <w:t>Izmaiņas Manipulāciju sarakstā no 19.04.2021</w:t>
      </w:r>
      <w:r>
        <w:t>.</w:t>
      </w:r>
      <w:bookmarkEnd w:id="12"/>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2FADE5B9" w14:textId="54DF4D48" w:rsidR="00C64471" w:rsidRDefault="00C64471" w:rsidP="007756A7">
      <w:pPr>
        <w:pStyle w:val="Heading1"/>
      </w:pPr>
    </w:p>
    <w:p w14:paraId="15A4AD55" w14:textId="77777777" w:rsidR="00C64471" w:rsidRDefault="00C64471">
      <w:pPr>
        <w:rPr>
          <w:b/>
          <w:bCs/>
          <w:sz w:val="28"/>
          <w:szCs w:val="28"/>
        </w:rPr>
      </w:pPr>
      <w:r>
        <w:br w:type="page"/>
      </w:r>
    </w:p>
    <w:p w14:paraId="22171581" w14:textId="5BE484A5" w:rsidR="007756A7" w:rsidRDefault="007756A7" w:rsidP="007756A7">
      <w:pPr>
        <w:pStyle w:val="Heading1"/>
      </w:pPr>
      <w:bookmarkStart w:id="13" w:name="_Toc85445849"/>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14" w:name="_Hlk69472003"/>
      <w:bookmarkEnd w:id="13"/>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5"/>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15"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15"/>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16"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16"/>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14"/>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17" w:name="_Toc85445850"/>
      <w:r>
        <w:t>Izmaiņas Manipulāciju sarakstā no</w:t>
      </w:r>
      <w:r w:rsidRPr="00313352">
        <w:t xml:space="preserve"> 01.01.2021.</w:t>
      </w:r>
      <w:bookmarkEnd w:id="17"/>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B80D5B">
        <w:trPr>
          <w:trHeight w:val="86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w:t>
            </w:r>
            <w:r w:rsidRPr="00882279">
              <w:rPr>
                <w:strike/>
                <w:color w:val="FF0000"/>
                <w:sz w:val="20"/>
                <w:szCs w:val="20"/>
                <w:lang w:eastAsia="lv-LV"/>
              </w:rPr>
              <w:lastRenderedPageBreak/>
              <w:t>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w:t>
            </w:r>
            <w:r w:rsidRPr="00882279">
              <w:rPr>
                <w:sz w:val="20"/>
                <w:szCs w:val="20"/>
                <w:lang w:eastAsia="lv-LV"/>
              </w:rPr>
              <w:lastRenderedPageBreak/>
              <w:t xml:space="preserve">(manipulācijas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 xml:space="preserve">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w:t>
            </w:r>
            <w:r w:rsidRPr="00882279">
              <w:rPr>
                <w:sz w:val="20"/>
                <w:szCs w:val="20"/>
                <w:lang w:eastAsia="lv-LV"/>
              </w:rPr>
              <w:lastRenderedPageBreak/>
              <w:t>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w:t>
            </w:r>
            <w:r w:rsidRPr="00882279">
              <w:rPr>
                <w:sz w:val="20"/>
                <w:szCs w:val="20"/>
                <w:lang w:eastAsia="lv-LV"/>
              </w:rPr>
              <w:lastRenderedPageBreak/>
              <w:t xml:space="preserve">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lastRenderedPageBreak/>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w:t>
            </w:r>
            <w:r w:rsidRPr="00882279">
              <w:rPr>
                <w:sz w:val="20"/>
                <w:szCs w:val="20"/>
                <w:lang w:eastAsia="lv-LV"/>
              </w:rPr>
              <w:lastRenderedPageBreak/>
              <w:t>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w:t>
            </w:r>
            <w:r w:rsidRPr="00882279">
              <w:rPr>
                <w:color w:val="FF0000"/>
                <w:sz w:val="20"/>
                <w:szCs w:val="20"/>
                <w:lang w:eastAsia="lv-LV"/>
              </w:rPr>
              <w:lastRenderedPageBreak/>
              <w:t xml:space="preserve">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w:t>
            </w:r>
            <w:r w:rsidRPr="00882279">
              <w:rPr>
                <w:sz w:val="20"/>
                <w:szCs w:val="20"/>
                <w:lang w:eastAsia="lv-LV"/>
              </w:rPr>
              <w:lastRenderedPageBreak/>
              <w:t xml:space="preserve">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w:t>
            </w:r>
            <w:r w:rsidRPr="00882279">
              <w:rPr>
                <w:sz w:val="20"/>
                <w:szCs w:val="20"/>
                <w:lang w:eastAsia="lv-LV"/>
              </w:rPr>
              <w:lastRenderedPageBreak/>
              <w:t xml:space="preserve">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w:t>
            </w:r>
            <w:r w:rsidRPr="00882279">
              <w:rPr>
                <w:color w:val="FF0000"/>
                <w:sz w:val="20"/>
                <w:szCs w:val="20"/>
                <w:lang w:eastAsia="lv-LV"/>
              </w:rPr>
              <w:lastRenderedPageBreak/>
              <w:t xml:space="preserve">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lastRenderedPageBreak/>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w:t>
            </w:r>
            <w:r w:rsidRPr="00882279">
              <w:rPr>
                <w:color w:val="FF0000"/>
                <w:sz w:val="20"/>
                <w:szCs w:val="20"/>
                <w:lang w:eastAsia="lv-LV"/>
              </w:rPr>
              <w:lastRenderedPageBreak/>
              <w:t xml:space="preserve">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w:t>
            </w:r>
            <w:r w:rsidRPr="00882279">
              <w:rPr>
                <w:color w:val="FF0000"/>
                <w:sz w:val="20"/>
                <w:szCs w:val="20"/>
                <w:lang w:eastAsia="lv-LV"/>
              </w:rPr>
              <w:lastRenderedPageBreak/>
              <w:t xml:space="preserve">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w:t>
            </w:r>
            <w:r w:rsidRPr="00882279">
              <w:rPr>
                <w:color w:val="FF0000"/>
                <w:sz w:val="20"/>
                <w:szCs w:val="20"/>
              </w:rPr>
              <w:lastRenderedPageBreak/>
              <w:t>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lastRenderedPageBreak/>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w:t>
            </w:r>
            <w:r w:rsidRPr="00882279">
              <w:rPr>
                <w:sz w:val="20"/>
                <w:szCs w:val="20"/>
              </w:rPr>
              <w:lastRenderedPageBreak/>
              <w:t xml:space="preserve">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 xml:space="preserve">saskaņā ar MK noteikumu Nr.555 </w:t>
            </w:r>
            <w:r w:rsidRPr="00882279">
              <w:rPr>
                <w:sz w:val="20"/>
                <w:szCs w:val="20"/>
                <w:lang w:eastAsia="lv-LV"/>
              </w:rPr>
              <w:lastRenderedPageBreak/>
              <w:t>243.punktā noteikto.</w:t>
            </w:r>
          </w:p>
        </w:tc>
      </w:tr>
      <w:tr w:rsidR="00D57455" w:rsidRPr="00882279" w14:paraId="31B403E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D57455">
        <w:trPr>
          <w:trHeight w:val="178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A3CB6">
        <w:trPr>
          <w:trHeight w:val="197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A3CB6">
        <w:trPr>
          <w:trHeight w:val="190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A3CB6">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w:t>
            </w:r>
            <w:r w:rsidRPr="00882279">
              <w:rPr>
                <w:sz w:val="20"/>
                <w:szCs w:val="20"/>
                <w:lang w:eastAsia="lv-LV"/>
              </w:rPr>
              <w:lastRenderedPageBreak/>
              <w:t>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Manipulāciju vienu reizi norāda ārstējošais ārsts par katru pacienta pavadīto dienu rehabilitācijas vai psihiatrijas dienas stacionārā, un tā ietver visu rehabilitācijas un psihiatrijas dienas stacionāra speciālistu laiku un IAL </w:t>
            </w:r>
            <w:r w:rsidRPr="00882279">
              <w:rPr>
                <w:color w:val="000000" w:themeColor="text1"/>
                <w:sz w:val="20"/>
                <w:szCs w:val="20"/>
                <w:lang w:eastAsia="lv-LV"/>
              </w:rPr>
              <w:lastRenderedPageBreak/>
              <w:t>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 xml:space="preserve">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w:t>
            </w:r>
            <w:r w:rsidRPr="00882279">
              <w:rPr>
                <w:color w:val="000000" w:themeColor="text1"/>
                <w:sz w:val="20"/>
                <w:szCs w:val="20"/>
                <w:lang w:eastAsia="lv-LV"/>
              </w:rPr>
              <w:lastRenderedPageBreak/>
              <w:t>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 xml:space="preserve">Manipulāciju nenorāda kopā ar </w:t>
            </w:r>
            <w:r w:rsidRPr="000E056F">
              <w:rPr>
                <w:color w:val="000000" w:themeColor="text1"/>
                <w:sz w:val="18"/>
                <w:szCs w:val="18"/>
                <w:lang w:eastAsia="lv-LV"/>
              </w:rPr>
              <w:lastRenderedPageBreak/>
              <w:t>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D57455">
        <w:trPr>
          <w:trHeight w:val="140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D57455">
        <w:trPr>
          <w:trHeight w:val="460"/>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w:t>
            </w:r>
            <w:r w:rsidRPr="00882279">
              <w:rPr>
                <w:sz w:val="20"/>
                <w:szCs w:val="20"/>
                <w:lang w:eastAsia="lv-LV"/>
              </w:rPr>
              <w:lastRenderedPageBreak/>
              <w:t>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lastRenderedPageBreak/>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w:t>
            </w:r>
            <w:r w:rsidRPr="00882279">
              <w:rPr>
                <w:sz w:val="20"/>
                <w:szCs w:val="20"/>
                <w:lang w:eastAsia="lv-LV"/>
              </w:rPr>
              <w:lastRenderedPageBreak/>
              <w:t xml:space="preserve">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EF0838">
        <w:trPr>
          <w:trHeight w:val="556"/>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lastRenderedPageBreak/>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EF0838">
        <w:trPr>
          <w:trHeight w:val="69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421673">
        <w:trPr>
          <w:trHeight w:val="32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18" w:name="_Toc85445851"/>
      <w:r w:rsidRPr="00525897">
        <w:lastRenderedPageBreak/>
        <w:t>Izmaiņas Manipulāciju sarakstā no 01.10.2020</w:t>
      </w:r>
      <w:bookmarkEnd w:id="18"/>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0DAB415D" w14:textId="7777777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p w14:paraId="7DF735FC" w14:textId="77777777" w:rsidR="00525897" w:rsidRPr="004E2599" w:rsidRDefault="00525897" w:rsidP="00525897">
            <w:pPr>
              <w:jc w:val="both"/>
              <w:rPr>
                <w:bCs/>
                <w:sz w:val="20"/>
                <w:szCs w:val="20"/>
              </w:rPr>
            </w:pP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w:t>
            </w:r>
            <w:r w:rsidRPr="004E2599">
              <w:rPr>
                <w:sz w:val="20"/>
                <w:szCs w:val="20"/>
                <w:lang w:eastAsia="lv-LV"/>
              </w:rPr>
              <w:lastRenderedPageBreak/>
              <w:t>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 xml:space="preserve">Manipulācija ar pašreizējiem apmaksas nosacījumiem ir spēkā līdz 31.12.2020. saskaņā ar MK noteikumu Nr.555 243.punktā </w:t>
            </w:r>
            <w:r w:rsidRPr="004E2599">
              <w:rPr>
                <w:bCs/>
                <w:sz w:val="20"/>
                <w:szCs w:val="20"/>
                <w:lang w:eastAsia="lv-LV"/>
              </w:rPr>
              <w:lastRenderedPageBreak/>
              <w:t>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C039679" w14:textId="77777777" w:rsidR="00525897" w:rsidRPr="004E2599"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p w14:paraId="00B06006" w14:textId="77777777" w:rsidR="00525897" w:rsidRPr="004E2599" w:rsidRDefault="00525897" w:rsidP="00525897">
            <w:pPr>
              <w:jc w:val="both"/>
              <w:rPr>
                <w:bCs/>
                <w:sz w:val="20"/>
                <w:szCs w:val="20"/>
                <w:lang w:eastAsia="lv-LV"/>
              </w:rPr>
            </w:pP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 xml:space="preserve">Laiks epidemioloģiskās drošības pasākumu nodrošināšanai </w:t>
            </w:r>
            <w:r w:rsidRPr="004E2599">
              <w:rPr>
                <w:color w:val="000000"/>
                <w:sz w:val="20"/>
                <w:szCs w:val="20"/>
                <w:lang w:eastAsia="lv-LV"/>
              </w:rPr>
              <w:lastRenderedPageBreak/>
              <w:t>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lastRenderedPageBreak/>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w:t>
            </w:r>
            <w:r w:rsidRPr="004E2599">
              <w:rPr>
                <w:sz w:val="20"/>
                <w:szCs w:val="20"/>
                <w:lang w:eastAsia="lv-LV"/>
              </w:rPr>
              <w:lastRenderedPageBreak/>
              <w:t xml:space="preserve">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411FE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lastRenderedPageBreak/>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w:t>
            </w:r>
            <w:r>
              <w:rPr>
                <w:sz w:val="20"/>
                <w:szCs w:val="20"/>
              </w:rPr>
              <w:lastRenderedPageBreak/>
              <w:t>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lastRenderedPageBreak/>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w:t>
            </w:r>
            <w:r w:rsidRPr="004E2599">
              <w:rPr>
                <w:sz w:val="20"/>
                <w:szCs w:val="20"/>
              </w:rPr>
              <w:lastRenderedPageBreak/>
              <w:t>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lastRenderedPageBreak/>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r>
            <w:r w:rsidRPr="004E2599">
              <w:rPr>
                <w:sz w:val="20"/>
                <w:szCs w:val="20"/>
              </w:rPr>
              <w:lastRenderedPageBreak/>
              <w:t>Pakalpojumu nodrošina ģimenes ārstu prakses vai mājas aprūpes pakalpojumu sniedzēji, kas par to vienojušies ar Dienestu.</w:t>
            </w:r>
          </w:p>
        </w:tc>
      </w:tr>
      <w:tr w:rsidR="00525897" w:rsidRPr="004E2599" w14:paraId="6BA20E9B" w14:textId="77777777" w:rsidTr="00525897">
        <w:trPr>
          <w:trHeight w:val="159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525897">
        <w:trPr>
          <w:trHeight w:val="53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48665" w14:textId="77777777" w:rsidR="00525897" w:rsidRPr="004E2599"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p w14:paraId="0284B819" w14:textId="77777777" w:rsidR="00525897" w:rsidRPr="004E2599" w:rsidRDefault="00525897" w:rsidP="00525897">
            <w:pPr>
              <w:jc w:val="both"/>
              <w:rPr>
                <w:color w:val="000000"/>
                <w:sz w:val="20"/>
                <w:szCs w:val="20"/>
                <w:highlight w:val="yellow"/>
              </w:rPr>
            </w:pP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hašišu (marihuānu). Objekts - noskalojumi no mutes dobuma, </w:t>
            </w:r>
            <w:r w:rsidRPr="004E2599">
              <w:rPr>
                <w:color w:val="000000"/>
                <w:sz w:val="20"/>
                <w:szCs w:val="20"/>
              </w:rPr>
              <w:lastRenderedPageBreak/>
              <w:t>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lastRenderedPageBreak/>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w:t>
            </w:r>
            <w:r w:rsidRPr="004E2599">
              <w:rPr>
                <w:sz w:val="20"/>
                <w:szCs w:val="20"/>
              </w:rPr>
              <w:lastRenderedPageBreak/>
              <w:t xml:space="preserve">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525897">
        <w:trPr>
          <w:trHeight w:val="1140"/>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lastRenderedPageBreak/>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w:t>
            </w:r>
            <w:r w:rsidRPr="004E2599">
              <w:rPr>
                <w:color w:val="000000"/>
                <w:sz w:val="20"/>
                <w:szCs w:val="20"/>
              </w:rPr>
              <w:lastRenderedPageBreak/>
              <w:t>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lastRenderedPageBreak/>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lastRenderedPageBreak/>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525897">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w:t>
            </w:r>
            <w:r w:rsidRPr="004E2599">
              <w:rPr>
                <w:sz w:val="20"/>
                <w:szCs w:val="20"/>
              </w:rPr>
              <w:lastRenderedPageBreak/>
              <w:t>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lastRenderedPageBreak/>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w:t>
            </w:r>
            <w:r w:rsidRPr="004E2599">
              <w:rPr>
                <w:sz w:val="20"/>
                <w:szCs w:val="20"/>
              </w:rPr>
              <w:lastRenderedPageBreak/>
              <w:t xml:space="preserve">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lastRenderedPageBreak/>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w:t>
            </w:r>
            <w:r w:rsidRPr="004E2599">
              <w:rPr>
                <w:color w:val="FF0000"/>
                <w:sz w:val="20"/>
                <w:szCs w:val="20"/>
                <w:lang w:eastAsia="lv-LV"/>
              </w:rPr>
              <w:lastRenderedPageBreak/>
              <w:t xml:space="preserve">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 xml:space="preserve">Pamatojums ir tāds, ka atsevišķās situācijās ir nepieciešams veikt vienu, vai otru izmeklējuma </w:t>
            </w:r>
            <w:r w:rsidRPr="004E2599">
              <w:rPr>
                <w:sz w:val="20"/>
                <w:szCs w:val="20"/>
              </w:rPr>
              <w:lastRenderedPageBreak/>
              <w:t>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r w:rsidRPr="004E2599">
              <w:rPr>
                <w:color w:val="000000"/>
                <w:sz w:val="20"/>
                <w:szCs w:val="20"/>
              </w:rPr>
              <w:lastRenderedPageBreak/>
              <w:t>(</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lastRenderedPageBreak/>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1BBCAE8D"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7DB1E9C1" w14:textId="685A8460" w:rsidR="0029612A" w:rsidRDefault="0029612A" w:rsidP="00525897">
      <w:pPr>
        <w:ind w:right="775"/>
        <w:jc w:val="both"/>
        <w:rPr>
          <w:sz w:val="20"/>
          <w:szCs w:val="20"/>
        </w:rPr>
      </w:pPr>
    </w:p>
    <w:p w14:paraId="739539DA" w14:textId="77777777" w:rsidR="0029612A" w:rsidRDefault="0029612A">
      <w:pPr>
        <w:rPr>
          <w:sz w:val="20"/>
          <w:szCs w:val="20"/>
        </w:rPr>
      </w:pPr>
      <w:r>
        <w:rPr>
          <w:sz w:val="20"/>
          <w:szCs w:val="20"/>
        </w:rPr>
        <w:br w:type="page"/>
      </w:r>
    </w:p>
    <w:p w14:paraId="6CA3F0D1" w14:textId="77777777" w:rsidR="00525897" w:rsidRPr="004E2599" w:rsidRDefault="00525897" w:rsidP="00525897">
      <w:pPr>
        <w:ind w:right="775"/>
        <w:jc w:val="both"/>
        <w:rPr>
          <w:sz w:val="20"/>
          <w:szCs w:val="20"/>
        </w:rPr>
      </w:pPr>
    </w:p>
    <w:p w14:paraId="3DA53428" w14:textId="75464C39" w:rsidR="006D4FCE" w:rsidRPr="006D4FCE" w:rsidRDefault="001D6937" w:rsidP="006D4FCE">
      <w:pPr>
        <w:pStyle w:val="Heading1"/>
        <w:rPr>
          <w:sz w:val="32"/>
          <w:szCs w:val="32"/>
        </w:rPr>
      </w:pPr>
      <w:bookmarkStart w:id="19" w:name="_Toc85445852"/>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19"/>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AF3666">
        <w:trPr>
          <w:trHeight w:val="70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FE4B" w14:textId="77777777" w:rsidR="006D4FCE" w:rsidRDefault="006D4FCE" w:rsidP="00AF3666">
            <w:pPr>
              <w:jc w:val="both"/>
              <w:rPr>
                <w:sz w:val="20"/>
                <w:szCs w:val="20"/>
              </w:rPr>
            </w:pPr>
            <w:r w:rsidRPr="00037BDE">
              <w:rPr>
                <w:b/>
                <w:sz w:val="20"/>
                <w:szCs w:val="20"/>
              </w:rPr>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lastRenderedPageBreak/>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p w14:paraId="1BEA6302" w14:textId="77777777" w:rsidR="006D4FCE" w:rsidRPr="008E65FA" w:rsidRDefault="006D4FCE" w:rsidP="00AF3666">
            <w:pPr>
              <w:rPr>
                <w:b/>
                <w:bCs/>
                <w:color w:val="FF0000"/>
                <w:sz w:val="20"/>
                <w:szCs w:val="20"/>
                <w:lang w:eastAsia="lv-LV"/>
              </w:rPr>
            </w:pP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lastRenderedPageBreak/>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lastRenderedPageBreak/>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4AD3371" w14:textId="77777777"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p w14:paraId="239B336B" w14:textId="77777777" w:rsidR="006D4FCE" w:rsidRDefault="006D4FCE" w:rsidP="00AF3666">
            <w:pPr>
              <w:rPr>
                <w:bCs/>
                <w:sz w:val="18"/>
                <w:szCs w:val="18"/>
                <w:lang w:eastAsia="lv-LV"/>
              </w:rPr>
            </w:pP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E7A5" w14:textId="77777777" w:rsidR="006D4FCE"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p w14:paraId="2FAF8C7E" w14:textId="77777777" w:rsidR="006D4FCE" w:rsidRPr="00683319" w:rsidRDefault="006D4FCE" w:rsidP="00AF3666">
            <w:pPr>
              <w:rPr>
                <w:bCs/>
                <w:sz w:val="18"/>
                <w:szCs w:val="18"/>
                <w:lang w:eastAsia="lv-LV"/>
              </w:rPr>
            </w:pP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6B4C" w14:textId="77777777" w:rsidR="006D4FCE"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p w14:paraId="08744B0F" w14:textId="77777777" w:rsidR="006D4FCE" w:rsidRPr="00CB5E88" w:rsidRDefault="006D4FCE" w:rsidP="00AF3666">
            <w:pPr>
              <w:rPr>
                <w:bCs/>
                <w:i/>
                <w:color w:val="FF0000"/>
                <w:sz w:val="18"/>
                <w:szCs w:val="18"/>
                <w:lang w:eastAsia="lv-LV"/>
              </w:rPr>
            </w:pP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lastRenderedPageBreak/>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1A6D" w14:textId="77777777" w:rsidR="006D4FCE"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p w14:paraId="5EAFAACD" w14:textId="77777777" w:rsidR="006D4FCE" w:rsidRPr="005816BA" w:rsidRDefault="006D4FCE" w:rsidP="00AF3666">
            <w:pPr>
              <w:rPr>
                <w:bCs/>
                <w:i/>
                <w:sz w:val="18"/>
                <w:szCs w:val="18"/>
                <w:lang w:eastAsia="lv-LV"/>
              </w:rPr>
            </w:pPr>
          </w:p>
        </w:tc>
      </w:tr>
      <w:tr w:rsidR="006D4FCE" w:rsidRPr="00683319" w14:paraId="6A7F2D0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8B23" w14:textId="77777777" w:rsidR="006D4FCE"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p w14:paraId="7D8DAD0F" w14:textId="77777777" w:rsidR="006D4FCE" w:rsidRPr="00683319" w:rsidRDefault="006D4FCE" w:rsidP="00AF3666">
            <w:pPr>
              <w:rPr>
                <w:bCs/>
                <w:sz w:val="18"/>
                <w:szCs w:val="18"/>
                <w:lang w:eastAsia="lv-LV"/>
              </w:rPr>
            </w:pP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57FB4" w14:textId="77777777" w:rsidR="006D4FCE"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p w14:paraId="0A20C2C2" w14:textId="77777777" w:rsidR="006D4FCE" w:rsidRPr="00683319" w:rsidRDefault="006D4FCE" w:rsidP="00AF3666">
            <w:pPr>
              <w:rPr>
                <w:bCs/>
                <w:sz w:val="18"/>
                <w:szCs w:val="18"/>
                <w:lang w:eastAsia="lv-LV"/>
              </w:rPr>
            </w:pP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 xml:space="preserve">SARS-CoV-2 RNS (COVID-19) noteikšana ar reālā laika PĶR (bez parauga paņemšanas). Manuālā izdalīšana 1 paraugam </w:t>
            </w:r>
            <w:r w:rsidRPr="007C1118">
              <w:rPr>
                <w:bCs/>
                <w:sz w:val="18"/>
                <w:szCs w:val="18"/>
                <w:lang w:eastAsia="lv-LV"/>
              </w:rPr>
              <w:lastRenderedPageBreak/>
              <w:t>(ja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lastRenderedPageBreak/>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w:t>
            </w:r>
            <w:r>
              <w:rPr>
                <w:bCs/>
                <w:sz w:val="18"/>
                <w:szCs w:val="18"/>
                <w:lang w:eastAsia="lv-LV"/>
              </w:rPr>
              <w:lastRenderedPageBreak/>
              <w:t>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 xml:space="preserve">Vīrusiem specifisko </w:t>
            </w:r>
            <w:r w:rsidRPr="00683319">
              <w:rPr>
                <w:bCs/>
                <w:sz w:val="18"/>
                <w:szCs w:val="18"/>
                <w:lang w:eastAsia="lv-LV"/>
              </w:rPr>
              <w:lastRenderedPageBreak/>
              <w:t>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lastRenderedPageBreak/>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 xml:space="preserve">Tarifs noteikts </w:t>
            </w:r>
            <w:r>
              <w:rPr>
                <w:bCs/>
                <w:sz w:val="18"/>
                <w:szCs w:val="18"/>
                <w:lang w:eastAsia="lv-LV"/>
              </w:rPr>
              <w:lastRenderedPageBreak/>
              <w:t>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lastRenderedPageBreak/>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w:t>
            </w:r>
            <w:r w:rsidRPr="00683319">
              <w:rPr>
                <w:bCs/>
                <w:sz w:val="18"/>
                <w:szCs w:val="18"/>
                <w:lang w:eastAsia="lv-LV"/>
              </w:rPr>
              <w:lastRenderedPageBreak/>
              <w:t>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w:t>
            </w:r>
            <w:r>
              <w:rPr>
                <w:bCs/>
                <w:sz w:val="18"/>
                <w:szCs w:val="18"/>
                <w:lang w:eastAsia="lv-LV"/>
              </w:rPr>
              <w:lastRenderedPageBreak/>
              <w:t>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430F9A"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p w14:paraId="77BA46B5" w14:textId="77777777" w:rsidR="006D4FCE" w:rsidRDefault="006D4FCE" w:rsidP="00AF3666">
            <w:pPr>
              <w:rPr>
                <w:bCs/>
                <w:sz w:val="18"/>
                <w:szCs w:val="18"/>
                <w:lang w:eastAsia="lv-LV"/>
              </w:rPr>
            </w:pP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w:t>
            </w:r>
            <w:r>
              <w:rPr>
                <w:bCs/>
                <w:sz w:val="18"/>
                <w:szCs w:val="18"/>
                <w:lang w:eastAsia="lv-LV"/>
              </w:rPr>
              <w:lastRenderedPageBreak/>
              <w:t>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A090DC"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p w14:paraId="2EE22C67" w14:textId="77777777" w:rsidR="006D4FCE" w:rsidRPr="0036447D" w:rsidRDefault="006D4FCE" w:rsidP="00AF3666">
            <w:pPr>
              <w:rPr>
                <w:bCs/>
                <w:sz w:val="18"/>
                <w:szCs w:val="18"/>
                <w:lang w:eastAsia="lv-LV"/>
              </w:rPr>
            </w:pP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83913C" w14:textId="77777777"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p w14:paraId="0F6782C4" w14:textId="77777777" w:rsidR="006D4FCE" w:rsidRDefault="006D4FCE" w:rsidP="00AF3666">
            <w:pPr>
              <w:rPr>
                <w:bCs/>
                <w:sz w:val="18"/>
                <w:szCs w:val="18"/>
                <w:lang w:eastAsia="lv-LV"/>
              </w:rPr>
            </w:pP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C07930" w14:textId="77777777"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p w14:paraId="16F62299" w14:textId="77777777" w:rsidR="006D4FCE" w:rsidRDefault="006D4FCE" w:rsidP="00AF3666">
            <w:pPr>
              <w:rPr>
                <w:bCs/>
                <w:sz w:val="18"/>
                <w:szCs w:val="18"/>
                <w:lang w:eastAsia="lv-LV"/>
              </w:rPr>
            </w:pP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3ED110" w14:textId="77777777" w:rsidR="006D4FCE"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p w14:paraId="44E72C94" w14:textId="77777777" w:rsidR="006D4FCE" w:rsidRPr="00683319" w:rsidRDefault="006D4FCE" w:rsidP="00AF3666">
            <w:pPr>
              <w:rPr>
                <w:bCs/>
                <w:sz w:val="18"/>
                <w:szCs w:val="18"/>
                <w:lang w:eastAsia="lv-LV"/>
              </w:rPr>
            </w:pP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07CA0157" w14:textId="77777777" w:rsidR="006D4FCE" w:rsidRPr="00C04F99"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p w14:paraId="6BA21DFA" w14:textId="77777777" w:rsidR="006D4FCE" w:rsidRPr="00683319" w:rsidRDefault="006D4FCE" w:rsidP="00AF3666">
            <w:pPr>
              <w:rPr>
                <w:bCs/>
                <w:sz w:val="18"/>
                <w:szCs w:val="18"/>
                <w:lang w:eastAsia="lv-LV"/>
              </w:rPr>
            </w:pP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A226A6" w14:textId="77777777" w:rsidR="006D4FCE" w:rsidRDefault="006D4FCE" w:rsidP="00AF3666">
            <w:pPr>
              <w:rPr>
                <w:bCs/>
                <w:sz w:val="18"/>
                <w:szCs w:val="18"/>
                <w:lang w:eastAsia="lv-LV"/>
              </w:rPr>
            </w:pPr>
            <w:r>
              <w:rPr>
                <w:b/>
                <w:bCs/>
                <w:sz w:val="18"/>
                <w:szCs w:val="18"/>
                <w:lang w:eastAsia="lv-LV"/>
              </w:rPr>
              <w:lastRenderedPageBreak/>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p w14:paraId="15B1647B" w14:textId="77777777" w:rsidR="006D4FCE" w:rsidRPr="0062667A" w:rsidRDefault="006D4FCE" w:rsidP="00AF3666">
            <w:pPr>
              <w:rPr>
                <w:b/>
                <w:bCs/>
                <w:sz w:val="18"/>
                <w:szCs w:val="18"/>
                <w:lang w:eastAsia="lv-LV"/>
              </w:rPr>
            </w:pP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394D" w14:textId="77777777" w:rsidR="001936A8" w:rsidRPr="001936A8" w:rsidRDefault="001936A8" w:rsidP="001936A8">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p w14:paraId="5F141DB7" w14:textId="3637A3C8" w:rsidR="006D4FCE" w:rsidRPr="001936A8" w:rsidRDefault="006D4FCE" w:rsidP="00AF3666">
            <w:pPr>
              <w:rPr>
                <w:sz w:val="20"/>
                <w:szCs w:val="20"/>
                <w:lang w:eastAsia="lv-LV"/>
              </w:rPr>
            </w:pP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43AEF2F4" w14:textId="7777777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p w14:paraId="29AB595A" w14:textId="77777777" w:rsidR="006D4FCE" w:rsidRDefault="006D4FCE" w:rsidP="00AF3666">
            <w:pPr>
              <w:rPr>
                <w:bCs/>
                <w:sz w:val="18"/>
                <w:szCs w:val="18"/>
                <w:lang w:eastAsia="lv-LV"/>
              </w:rPr>
            </w:pP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B0DC" w14:textId="77777777" w:rsidR="006D4FCE"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p w14:paraId="6D69CBCD" w14:textId="77777777" w:rsidR="006D4FCE" w:rsidRPr="00683319" w:rsidRDefault="006D4FCE" w:rsidP="00AF3666">
            <w:pPr>
              <w:rPr>
                <w:bCs/>
                <w:sz w:val="18"/>
                <w:szCs w:val="18"/>
                <w:lang w:eastAsia="lv-LV"/>
              </w:rPr>
            </w:pP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6636" w14:textId="77777777" w:rsidR="006D4FCE"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p w14:paraId="6C8E0872" w14:textId="77777777" w:rsidR="006D4FCE" w:rsidRPr="00340D12" w:rsidRDefault="006D4FCE" w:rsidP="00AF3666">
            <w:pPr>
              <w:rPr>
                <w:bCs/>
                <w:sz w:val="20"/>
                <w:szCs w:val="20"/>
                <w:lang w:eastAsia="lv-LV"/>
              </w:rPr>
            </w:pP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lastRenderedPageBreak/>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C8B" w14:textId="77777777" w:rsidR="006D4FCE"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p w14:paraId="33958439" w14:textId="77777777" w:rsidR="006D4FCE" w:rsidRPr="00C32D43" w:rsidRDefault="006D4FCE" w:rsidP="00AF3666">
            <w:pPr>
              <w:rPr>
                <w:bCs/>
                <w:sz w:val="20"/>
                <w:szCs w:val="20"/>
                <w:lang w:eastAsia="lv-LV"/>
              </w:rPr>
            </w:pP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w:t>
            </w:r>
            <w:r w:rsidRPr="002F3738">
              <w:rPr>
                <w:sz w:val="20"/>
                <w:szCs w:val="20"/>
              </w:rPr>
              <w:lastRenderedPageBreak/>
              <w:t>nedzīstošu, hronisku ādas, mīksto audu čūlu (</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20" w:name="_Toc85445853"/>
      <w:r w:rsidRPr="00084AE1">
        <w:lastRenderedPageBreak/>
        <w:t>Izmaiņas Manipulāciju sarakstā no 01.04.2020</w:t>
      </w:r>
      <w:bookmarkEnd w:id="20"/>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w:t>
            </w:r>
            <w:r w:rsidRPr="00D35428">
              <w:rPr>
                <w:bCs/>
                <w:sz w:val="20"/>
                <w:szCs w:val="20"/>
                <w:lang w:eastAsia="lv-LV"/>
              </w:rPr>
              <w:lastRenderedPageBreak/>
              <w:t>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w:t>
            </w:r>
            <w:r w:rsidRPr="007016E6">
              <w:rPr>
                <w:bCs/>
                <w:strike/>
                <w:color w:val="808080" w:themeColor="background1" w:themeShade="80"/>
                <w:sz w:val="20"/>
                <w:szCs w:val="20"/>
                <w:lang w:eastAsia="lv-LV"/>
              </w:rPr>
              <w:lastRenderedPageBreak/>
              <w:t>diagnostikā, krūts vēža 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F23" w14:textId="77777777" w:rsidR="00084AE1"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p w14:paraId="37EC3F59" w14:textId="77777777" w:rsidR="00084AE1" w:rsidRPr="00C07DD4" w:rsidRDefault="00084AE1" w:rsidP="00084AE1">
            <w:pPr>
              <w:rPr>
                <w:bCs/>
                <w:sz w:val="20"/>
                <w:szCs w:val="20"/>
                <w:lang w:eastAsia="lv-LV"/>
              </w:rPr>
            </w:pP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w:t>
            </w:r>
            <w:r w:rsidRPr="001E5A93">
              <w:rPr>
                <w:bCs/>
                <w:sz w:val="20"/>
                <w:szCs w:val="20"/>
                <w:lang w:eastAsia="lv-LV"/>
              </w:rPr>
              <w:lastRenderedPageBreak/>
              <w:t xml:space="preserve">“Traumatoloģijas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w:t>
            </w:r>
            <w:r w:rsidRPr="00817499">
              <w:rPr>
                <w:b/>
                <w:bCs/>
                <w:color w:val="FF0000"/>
                <w:sz w:val="20"/>
                <w:szCs w:val="20"/>
                <w:lang w:eastAsia="lv-LV"/>
              </w:rPr>
              <w:lastRenderedPageBreak/>
              <w:t xml:space="preserve">komandas darbs dienā 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w:t>
            </w:r>
            <w:r w:rsidRPr="00887407">
              <w:rPr>
                <w:b/>
                <w:bCs/>
                <w:color w:val="FF0000"/>
                <w:sz w:val="20"/>
                <w:szCs w:val="20"/>
                <w:lang w:eastAsia="lv-LV"/>
              </w:rPr>
              <w:lastRenderedPageBreak/>
              <w:t xml:space="preserve">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w:t>
      </w:r>
      <w:r w:rsidRPr="00F4109C">
        <w:rPr>
          <w:sz w:val="24"/>
          <w:szCs w:val="24"/>
        </w:rPr>
        <w:lastRenderedPageBreak/>
        <w:t xml:space="preserve">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21" w:name="_Toc85445854"/>
      <w:r>
        <w:lastRenderedPageBreak/>
        <w:t>Izmaiņas Manipulāciju sarakstā no 01.01.2020.</w:t>
      </w:r>
      <w:bookmarkEnd w:id="21"/>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D815EA">
        <w:trPr>
          <w:trHeight w:val="92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733E4B">
        <w:trPr>
          <w:trHeight w:val="905"/>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 xml:space="preserve">Tarifa pārrēķins veikts, balstoties uz ārstniecības iestādes vai ārstniecības personu profesionālās apvienības </w:t>
      </w:r>
      <w:r w:rsidR="00282B64" w:rsidRPr="007D73F9">
        <w:rPr>
          <w:i/>
          <w:sz w:val="20"/>
          <w:szCs w:val="20"/>
        </w:rPr>
        <w:lastRenderedPageBreak/>
        <w:t>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7011D8">
        <w:trPr>
          <w:trHeight w:val="92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7011D8">
        <w:trPr>
          <w:trHeight w:val="92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22" w:name="_Toc85445855"/>
      <w:r>
        <w:lastRenderedPageBreak/>
        <w:t>Izmaiņas Manipulāciju sarakstā no 01.10.2019</w:t>
      </w:r>
      <w:bookmarkEnd w:id="22"/>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23" w:name="_Toc85445856"/>
      <w:r>
        <w:lastRenderedPageBreak/>
        <w:t>Izmaiņas Manipulāciju sarakstā no 12.08.2019</w:t>
      </w:r>
      <w:bookmarkEnd w:id="23"/>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24" w:name="_Toc85445857"/>
      <w:r>
        <w:lastRenderedPageBreak/>
        <w:t>Izmaiņas Manipulāciju sarakstā no 12.04.2019</w:t>
      </w:r>
      <w:bookmarkEnd w:id="24"/>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25" w:name="_Toc85445858"/>
      <w:r>
        <w:lastRenderedPageBreak/>
        <w:t>Izmaiņas Manipulāciju sarakstā no 01.04.2019</w:t>
      </w:r>
      <w:bookmarkEnd w:id="25"/>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26" w:name="_Toc85445859"/>
      <w:r>
        <w:lastRenderedPageBreak/>
        <w:t>Izmaiņas Manipulāciju sarakstā no 11.02.2019</w:t>
      </w:r>
      <w:bookmarkEnd w:id="26"/>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27" w:name="_Toc85445860"/>
      <w:r>
        <w:lastRenderedPageBreak/>
        <w:t>Izmaiņas Manipulāciju sarakstā no 01.01.2019</w:t>
      </w:r>
      <w:bookmarkEnd w:id="27"/>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28" w:name="_Toc85445861"/>
      <w:r>
        <w:lastRenderedPageBreak/>
        <w:t>Izmaiņas Manipulāciju sarakstā no 23.10.2018</w:t>
      </w:r>
      <w:bookmarkEnd w:id="28"/>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29" w:name="_Toc85445862"/>
      <w:r>
        <w:lastRenderedPageBreak/>
        <w:t>Izmaiņas Manipulāciju sarakstā no 01.09.2018</w:t>
      </w:r>
      <w:bookmarkEnd w:id="29"/>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49FA" w14:textId="77777777" w:rsidR="0049260D" w:rsidRDefault="0049260D">
      <w:r>
        <w:separator/>
      </w:r>
    </w:p>
  </w:endnote>
  <w:endnote w:type="continuationSeparator" w:id="0">
    <w:p w14:paraId="5DF367F3" w14:textId="77777777" w:rsidR="0049260D" w:rsidRDefault="0049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2C5A" w14:textId="77777777" w:rsidR="0049260D" w:rsidRDefault="0049260D">
      <w:r>
        <w:separator/>
      </w:r>
    </w:p>
  </w:footnote>
  <w:footnote w:type="continuationSeparator" w:id="0">
    <w:p w14:paraId="50CDAB68" w14:textId="77777777" w:rsidR="0049260D" w:rsidRDefault="0049260D">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0"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22"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24"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26"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28"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1"/>
  </w:num>
  <w:num w:numId="3">
    <w:abstractNumId w:val="9"/>
  </w:num>
  <w:num w:numId="4">
    <w:abstractNumId w:val="25"/>
  </w:num>
  <w:num w:numId="5">
    <w:abstractNumId w:val="27"/>
  </w:num>
  <w:num w:numId="6">
    <w:abstractNumId w:val="23"/>
  </w:num>
  <w:num w:numId="7">
    <w:abstractNumId w:val="3"/>
  </w:num>
  <w:num w:numId="8">
    <w:abstractNumId w:val="14"/>
  </w:num>
  <w:num w:numId="9">
    <w:abstractNumId w:val="11"/>
  </w:num>
  <w:num w:numId="10">
    <w:abstractNumId w:val="5"/>
  </w:num>
  <w:num w:numId="11">
    <w:abstractNumId w:val="2"/>
  </w:num>
  <w:num w:numId="12">
    <w:abstractNumId w:val="1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15"/>
  </w:num>
  <w:num w:numId="17">
    <w:abstractNumId w:val="4"/>
  </w:num>
  <w:num w:numId="18">
    <w:abstractNumId w:val="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2"/>
  </w:num>
  <w:num w:numId="30">
    <w:abstractNumId w:val="30"/>
  </w:num>
  <w:num w:numId="31">
    <w:abstractNumId w:val="13"/>
  </w:num>
  <w:num w:numId="32">
    <w:abstractNumId w:val="16"/>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37BD"/>
    <w:rsid w:val="000B57B6"/>
    <w:rsid w:val="000C055C"/>
    <w:rsid w:val="000C61D3"/>
    <w:rsid w:val="000D3DE1"/>
    <w:rsid w:val="000D64AD"/>
    <w:rsid w:val="000D705F"/>
    <w:rsid w:val="000D76A4"/>
    <w:rsid w:val="000D7A35"/>
    <w:rsid w:val="000E2538"/>
    <w:rsid w:val="000F02BA"/>
    <w:rsid w:val="000F289A"/>
    <w:rsid w:val="000F3C12"/>
    <w:rsid w:val="000F6676"/>
    <w:rsid w:val="00104812"/>
    <w:rsid w:val="00105856"/>
    <w:rsid w:val="00106720"/>
    <w:rsid w:val="00113730"/>
    <w:rsid w:val="0012310A"/>
    <w:rsid w:val="00123702"/>
    <w:rsid w:val="00131EA2"/>
    <w:rsid w:val="00133EAE"/>
    <w:rsid w:val="00141703"/>
    <w:rsid w:val="00143BDD"/>
    <w:rsid w:val="0014506A"/>
    <w:rsid w:val="0015257A"/>
    <w:rsid w:val="001542F7"/>
    <w:rsid w:val="00163240"/>
    <w:rsid w:val="00164DD7"/>
    <w:rsid w:val="001673A5"/>
    <w:rsid w:val="001706B5"/>
    <w:rsid w:val="00173977"/>
    <w:rsid w:val="0018048D"/>
    <w:rsid w:val="00184C7E"/>
    <w:rsid w:val="001910DF"/>
    <w:rsid w:val="00191E53"/>
    <w:rsid w:val="001936A8"/>
    <w:rsid w:val="00194B57"/>
    <w:rsid w:val="001953F8"/>
    <w:rsid w:val="001A5802"/>
    <w:rsid w:val="001A5E3C"/>
    <w:rsid w:val="001B000F"/>
    <w:rsid w:val="001B036E"/>
    <w:rsid w:val="001B5D86"/>
    <w:rsid w:val="001B7EBD"/>
    <w:rsid w:val="001C2E22"/>
    <w:rsid w:val="001C31D4"/>
    <w:rsid w:val="001C5AB6"/>
    <w:rsid w:val="001D183E"/>
    <w:rsid w:val="001D538D"/>
    <w:rsid w:val="001D65CE"/>
    <w:rsid w:val="001D6937"/>
    <w:rsid w:val="001D722C"/>
    <w:rsid w:val="001E170A"/>
    <w:rsid w:val="001E74E2"/>
    <w:rsid w:val="001F1DCB"/>
    <w:rsid w:val="001F5E30"/>
    <w:rsid w:val="001F7FAC"/>
    <w:rsid w:val="00201329"/>
    <w:rsid w:val="0020241F"/>
    <w:rsid w:val="00203695"/>
    <w:rsid w:val="002048FC"/>
    <w:rsid w:val="002051D5"/>
    <w:rsid w:val="00211076"/>
    <w:rsid w:val="00211221"/>
    <w:rsid w:val="002114CC"/>
    <w:rsid w:val="00215D08"/>
    <w:rsid w:val="002169B6"/>
    <w:rsid w:val="00221AC1"/>
    <w:rsid w:val="0022295C"/>
    <w:rsid w:val="0022597F"/>
    <w:rsid w:val="00237AD1"/>
    <w:rsid w:val="00240262"/>
    <w:rsid w:val="00244075"/>
    <w:rsid w:val="002458FA"/>
    <w:rsid w:val="002470F5"/>
    <w:rsid w:val="00255C41"/>
    <w:rsid w:val="00276EF5"/>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7FC2"/>
    <w:rsid w:val="003015CB"/>
    <w:rsid w:val="003123F6"/>
    <w:rsid w:val="00314504"/>
    <w:rsid w:val="00314A36"/>
    <w:rsid w:val="00316767"/>
    <w:rsid w:val="003272A6"/>
    <w:rsid w:val="00332595"/>
    <w:rsid w:val="00333AD2"/>
    <w:rsid w:val="003352D0"/>
    <w:rsid w:val="00342C22"/>
    <w:rsid w:val="00362650"/>
    <w:rsid w:val="00363973"/>
    <w:rsid w:val="00370DA3"/>
    <w:rsid w:val="003A0CEF"/>
    <w:rsid w:val="003A329E"/>
    <w:rsid w:val="003A5642"/>
    <w:rsid w:val="003A5EC5"/>
    <w:rsid w:val="003A634F"/>
    <w:rsid w:val="003B0515"/>
    <w:rsid w:val="003B187A"/>
    <w:rsid w:val="003B18C7"/>
    <w:rsid w:val="003B5202"/>
    <w:rsid w:val="003C1710"/>
    <w:rsid w:val="003C3CC9"/>
    <w:rsid w:val="003C5142"/>
    <w:rsid w:val="003C7D6F"/>
    <w:rsid w:val="003D2910"/>
    <w:rsid w:val="003D40ED"/>
    <w:rsid w:val="003D418E"/>
    <w:rsid w:val="003D6D12"/>
    <w:rsid w:val="003E0934"/>
    <w:rsid w:val="003E394A"/>
    <w:rsid w:val="003E530D"/>
    <w:rsid w:val="003F4EBE"/>
    <w:rsid w:val="003F7D6E"/>
    <w:rsid w:val="0040117D"/>
    <w:rsid w:val="00401375"/>
    <w:rsid w:val="00404418"/>
    <w:rsid w:val="00404C68"/>
    <w:rsid w:val="00406701"/>
    <w:rsid w:val="00410D5C"/>
    <w:rsid w:val="00411FE7"/>
    <w:rsid w:val="00421312"/>
    <w:rsid w:val="00421673"/>
    <w:rsid w:val="0042278F"/>
    <w:rsid w:val="00426B8E"/>
    <w:rsid w:val="00426DD0"/>
    <w:rsid w:val="00427C63"/>
    <w:rsid w:val="0044682C"/>
    <w:rsid w:val="0044724C"/>
    <w:rsid w:val="004544EC"/>
    <w:rsid w:val="00457CEE"/>
    <w:rsid w:val="00460D80"/>
    <w:rsid w:val="00471EDA"/>
    <w:rsid w:val="00472229"/>
    <w:rsid w:val="00473282"/>
    <w:rsid w:val="00475D64"/>
    <w:rsid w:val="004774E8"/>
    <w:rsid w:val="0049260D"/>
    <w:rsid w:val="00496CE2"/>
    <w:rsid w:val="004A0D8E"/>
    <w:rsid w:val="004B1691"/>
    <w:rsid w:val="004B2DC9"/>
    <w:rsid w:val="004B2F84"/>
    <w:rsid w:val="004B32E9"/>
    <w:rsid w:val="004B502F"/>
    <w:rsid w:val="004C1A03"/>
    <w:rsid w:val="004C5460"/>
    <w:rsid w:val="004D1B9D"/>
    <w:rsid w:val="004D2AF5"/>
    <w:rsid w:val="004D569C"/>
    <w:rsid w:val="004D57D6"/>
    <w:rsid w:val="00502BB3"/>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81838"/>
    <w:rsid w:val="005A1759"/>
    <w:rsid w:val="005A436A"/>
    <w:rsid w:val="005A5DC5"/>
    <w:rsid w:val="005B2DF2"/>
    <w:rsid w:val="005B4ACC"/>
    <w:rsid w:val="005C363A"/>
    <w:rsid w:val="005C4934"/>
    <w:rsid w:val="005C60BF"/>
    <w:rsid w:val="005D05ED"/>
    <w:rsid w:val="005D2C75"/>
    <w:rsid w:val="005F693E"/>
    <w:rsid w:val="0060143F"/>
    <w:rsid w:val="00602EC6"/>
    <w:rsid w:val="00605A3D"/>
    <w:rsid w:val="00607072"/>
    <w:rsid w:val="0060796B"/>
    <w:rsid w:val="0061295F"/>
    <w:rsid w:val="0061349A"/>
    <w:rsid w:val="0061480A"/>
    <w:rsid w:val="006155B3"/>
    <w:rsid w:val="00615989"/>
    <w:rsid w:val="0062076F"/>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93EEE"/>
    <w:rsid w:val="006A637C"/>
    <w:rsid w:val="006A65C3"/>
    <w:rsid w:val="006A70B1"/>
    <w:rsid w:val="006A73B3"/>
    <w:rsid w:val="006B73A3"/>
    <w:rsid w:val="006C17A3"/>
    <w:rsid w:val="006C1C70"/>
    <w:rsid w:val="006D442F"/>
    <w:rsid w:val="006D4FCE"/>
    <w:rsid w:val="006D6057"/>
    <w:rsid w:val="006D64B9"/>
    <w:rsid w:val="006E2BFB"/>
    <w:rsid w:val="006F223F"/>
    <w:rsid w:val="006F3E00"/>
    <w:rsid w:val="006F5609"/>
    <w:rsid w:val="007011D8"/>
    <w:rsid w:val="00702A6C"/>
    <w:rsid w:val="00703989"/>
    <w:rsid w:val="00712E05"/>
    <w:rsid w:val="00714A1C"/>
    <w:rsid w:val="00722F21"/>
    <w:rsid w:val="00726321"/>
    <w:rsid w:val="007307CA"/>
    <w:rsid w:val="00733001"/>
    <w:rsid w:val="00733E2A"/>
    <w:rsid w:val="00733E4B"/>
    <w:rsid w:val="007409C0"/>
    <w:rsid w:val="00741799"/>
    <w:rsid w:val="00741D9E"/>
    <w:rsid w:val="00745789"/>
    <w:rsid w:val="007464F3"/>
    <w:rsid w:val="007568A9"/>
    <w:rsid w:val="00756FF7"/>
    <w:rsid w:val="0076028D"/>
    <w:rsid w:val="00760461"/>
    <w:rsid w:val="00761E04"/>
    <w:rsid w:val="00762581"/>
    <w:rsid w:val="0076630F"/>
    <w:rsid w:val="00772831"/>
    <w:rsid w:val="00772CC1"/>
    <w:rsid w:val="007756A7"/>
    <w:rsid w:val="00776EA1"/>
    <w:rsid w:val="007802B2"/>
    <w:rsid w:val="007803FA"/>
    <w:rsid w:val="007861AD"/>
    <w:rsid w:val="00790028"/>
    <w:rsid w:val="007921DF"/>
    <w:rsid w:val="00792EEB"/>
    <w:rsid w:val="0079735A"/>
    <w:rsid w:val="007A18E9"/>
    <w:rsid w:val="007A258C"/>
    <w:rsid w:val="007A3CB6"/>
    <w:rsid w:val="007B18B0"/>
    <w:rsid w:val="007B1C76"/>
    <w:rsid w:val="007B7DA8"/>
    <w:rsid w:val="007C0F34"/>
    <w:rsid w:val="007C392C"/>
    <w:rsid w:val="007C52C3"/>
    <w:rsid w:val="007C55D6"/>
    <w:rsid w:val="007D73F9"/>
    <w:rsid w:val="007E1026"/>
    <w:rsid w:val="007E55DE"/>
    <w:rsid w:val="007F02DC"/>
    <w:rsid w:val="007F09E4"/>
    <w:rsid w:val="00806AAB"/>
    <w:rsid w:val="008113E5"/>
    <w:rsid w:val="00813D87"/>
    <w:rsid w:val="008141D5"/>
    <w:rsid w:val="008142BF"/>
    <w:rsid w:val="008143AB"/>
    <w:rsid w:val="008146FA"/>
    <w:rsid w:val="00820BBD"/>
    <w:rsid w:val="008264FA"/>
    <w:rsid w:val="0082690D"/>
    <w:rsid w:val="00831090"/>
    <w:rsid w:val="00835D34"/>
    <w:rsid w:val="00842536"/>
    <w:rsid w:val="00852A46"/>
    <w:rsid w:val="0085568A"/>
    <w:rsid w:val="0085609F"/>
    <w:rsid w:val="00856A02"/>
    <w:rsid w:val="00861E99"/>
    <w:rsid w:val="0086272D"/>
    <w:rsid w:val="008672AB"/>
    <w:rsid w:val="008973F0"/>
    <w:rsid w:val="008A006F"/>
    <w:rsid w:val="008A1972"/>
    <w:rsid w:val="008A45AF"/>
    <w:rsid w:val="008A4F78"/>
    <w:rsid w:val="008A68D7"/>
    <w:rsid w:val="008A6F76"/>
    <w:rsid w:val="008A7000"/>
    <w:rsid w:val="008C41FF"/>
    <w:rsid w:val="008C50F0"/>
    <w:rsid w:val="008C601C"/>
    <w:rsid w:val="008C6907"/>
    <w:rsid w:val="008E06D3"/>
    <w:rsid w:val="008E415C"/>
    <w:rsid w:val="008F231C"/>
    <w:rsid w:val="008F2C3C"/>
    <w:rsid w:val="008F3143"/>
    <w:rsid w:val="00902A60"/>
    <w:rsid w:val="00911C05"/>
    <w:rsid w:val="00911D3A"/>
    <w:rsid w:val="00914863"/>
    <w:rsid w:val="0092069F"/>
    <w:rsid w:val="009230B1"/>
    <w:rsid w:val="00934C7A"/>
    <w:rsid w:val="0094273A"/>
    <w:rsid w:val="00946DD8"/>
    <w:rsid w:val="00950DCA"/>
    <w:rsid w:val="009526FC"/>
    <w:rsid w:val="009551B1"/>
    <w:rsid w:val="009567EE"/>
    <w:rsid w:val="009648CD"/>
    <w:rsid w:val="00971681"/>
    <w:rsid w:val="009733D9"/>
    <w:rsid w:val="00976DEB"/>
    <w:rsid w:val="00980A5D"/>
    <w:rsid w:val="009838B2"/>
    <w:rsid w:val="009841E3"/>
    <w:rsid w:val="00995677"/>
    <w:rsid w:val="00997838"/>
    <w:rsid w:val="009A1D8C"/>
    <w:rsid w:val="009A615A"/>
    <w:rsid w:val="009A7E8F"/>
    <w:rsid w:val="009C1A10"/>
    <w:rsid w:val="009C1DF0"/>
    <w:rsid w:val="009C5D16"/>
    <w:rsid w:val="009C75CB"/>
    <w:rsid w:val="009E06B4"/>
    <w:rsid w:val="009E097A"/>
    <w:rsid w:val="009E3619"/>
    <w:rsid w:val="009E6558"/>
    <w:rsid w:val="009F2A39"/>
    <w:rsid w:val="00A0517A"/>
    <w:rsid w:val="00A06AEA"/>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FCA"/>
    <w:rsid w:val="00A6637F"/>
    <w:rsid w:val="00A71410"/>
    <w:rsid w:val="00A71AFA"/>
    <w:rsid w:val="00A72345"/>
    <w:rsid w:val="00A85758"/>
    <w:rsid w:val="00A91139"/>
    <w:rsid w:val="00A91A9E"/>
    <w:rsid w:val="00A95A8D"/>
    <w:rsid w:val="00AA20D5"/>
    <w:rsid w:val="00AA3DDD"/>
    <w:rsid w:val="00AB0A42"/>
    <w:rsid w:val="00AB220D"/>
    <w:rsid w:val="00AB72A7"/>
    <w:rsid w:val="00AC3646"/>
    <w:rsid w:val="00AC443B"/>
    <w:rsid w:val="00AD0DCF"/>
    <w:rsid w:val="00AE1B29"/>
    <w:rsid w:val="00AE1CE8"/>
    <w:rsid w:val="00AE3ABA"/>
    <w:rsid w:val="00AE4BCC"/>
    <w:rsid w:val="00AF083C"/>
    <w:rsid w:val="00AF1E60"/>
    <w:rsid w:val="00AF3666"/>
    <w:rsid w:val="00AF4089"/>
    <w:rsid w:val="00AF6580"/>
    <w:rsid w:val="00B00D7E"/>
    <w:rsid w:val="00B25B23"/>
    <w:rsid w:val="00B34ED4"/>
    <w:rsid w:val="00B42F9E"/>
    <w:rsid w:val="00B50780"/>
    <w:rsid w:val="00B562D5"/>
    <w:rsid w:val="00B56663"/>
    <w:rsid w:val="00B67BD6"/>
    <w:rsid w:val="00B732FB"/>
    <w:rsid w:val="00B75CAD"/>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C0449"/>
    <w:rsid w:val="00BC2141"/>
    <w:rsid w:val="00BC2A39"/>
    <w:rsid w:val="00BD5307"/>
    <w:rsid w:val="00BD5706"/>
    <w:rsid w:val="00BE5147"/>
    <w:rsid w:val="00BE57C4"/>
    <w:rsid w:val="00BF146B"/>
    <w:rsid w:val="00BF14BF"/>
    <w:rsid w:val="00C064DC"/>
    <w:rsid w:val="00C12897"/>
    <w:rsid w:val="00C1333A"/>
    <w:rsid w:val="00C15184"/>
    <w:rsid w:val="00C20A54"/>
    <w:rsid w:val="00C224DF"/>
    <w:rsid w:val="00C23556"/>
    <w:rsid w:val="00C25355"/>
    <w:rsid w:val="00C30AA9"/>
    <w:rsid w:val="00C356FD"/>
    <w:rsid w:val="00C361EF"/>
    <w:rsid w:val="00C42A60"/>
    <w:rsid w:val="00C456CC"/>
    <w:rsid w:val="00C5091B"/>
    <w:rsid w:val="00C50DD8"/>
    <w:rsid w:val="00C52FDA"/>
    <w:rsid w:val="00C53227"/>
    <w:rsid w:val="00C55637"/>
    <w:rsid w:val="00C56078"/>
    <w:rsid w:val="00C57507"/>
    <w:rsid w:val="00C64471"/>
    <w:rsid w:val="00C65631"/>
    <w:rsid w:val="00C807B7"/>
    <w:rsid w:val="00C8083D"/>
    <w:rsid w:val="00C85E27"/>
    <w:rsid w:val="00C91F49"/>
    <w:rsid w:val="00C9465C"/>
    <w:rsid w:val="00CA31F9"/>
    <w:rsid w:val="00CA3A7D"/>
    <w:rsid w:val="00CA63AC"/>
    <w:rsid w:val="00CB084F"/>
    <w:rsid w:val="00CB7C7D"/>
    <w:rsid w:val="00CC1638"/>
    <w:rsid w:val="00CC27E8"/>
    <w:rsid w:val="00CC3F29"/>
    <w:rsid w:val="00CD1055"/>
    <w:rsid w:val="00CD35F5"/>
    <w:rsid w:val="00CD65F9"/>
    <w:rsid w:val="00CD7786"/>
    <w:rsid w:val="00CE1417"/>
    <w:rsid w:val="00CE2C28"/>
    <w:rsid w:val="00CE4C4D"/>
    <w:rsid w:val="00CF13A4"/>
    <w:rsid w:val="00CF59EC"/>
    <w:rsid w:val="00D03769"/>
    <w:rsid w:val="00D13379"/>
    <w:rsid w:val="00D1495C"/>
    <w:rsid w:val="00D20FC4"/>
    <w:rsid w:val="00D22EB0"/>
    <w:rsid w:val="00D269E2"/>
    <w:rsid w:val="00D32000"/>
    <w:rsid w:val="00D37147"/>
    <w:rsid w:val="00D40074"/>
    <w:rsid w:val="00D44361"/>
    <w:rsid w:val="00D44BD9"/>
    <w:rsid w:val="00D46388"/>
    <w:rsid w:val="00D5001C"/>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7983"/>
    <w:rsid w:val="00DA1A9D"/>
    <w:rsid w:val="00DA69D6"/>
    <w:rsid w:val="00DA6C87"/>
    <w:rsid w:val="00DA7AD0"/>
    <w:rsid w:val="00DB33B2"/>
    <w:rsid w:val="00DB4AF0"/>
    <w:rsid w:val="00DB5625"/>
    <w:rsid w:val="00DB720E"/>
    <w:rsid w:val="00DB7796"/>
    <w:rsid w:val="00DB7831"/>
    <w:rsid w:val="00DC068A"/>
    <w:rsid w:val="00DC09D5"/>
    <w:rsid w:val="00DC3466"/>
    <w:rsid w:val="00DC5388"/>
    <w:rsid w:val="00DC5E2C"/>
    <w:rsid w:val="00DC62E6"/>
    <w:rsid w:val="00DC6F13"/>
    <w:rsid w:val="00DD041E"/>
    <w:rsid w:val="00DE3D86"/>
    <w:rsid w:val="00DF00B5"/>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472CC"/>
    <w:rsid w:val="00E47BE8"/>
    <w:rsid w:val="00E575FD"/>
    <w:rsid w:val="00E6217A"/>
    <w:rsid w:val="00E6225E"/>
    <w:rsid w:val="00E64055"/>
    <w:rsid w:val="00E70543"/>
    <w:rsid w:val="00E71BE8"/>
    <w:rsid w:val="00E75E5B"/>
    <w:rsid w:val="00E76502"/>
    <w:rsid w:val="00E8152C"/>
    <w:rsid w:val="00E823D7"/>
    <w:rsid w:val="00E824C5"/>
    <w:rsid w:val="00E84CE3"/>
    <w:rsid w:val="00E86948"/>
    <w:rsid w:val="00E94EE2"/>
    <w:rsid w:val="00E94F75"/>
    <w:rsid w:val="00E961E5"/>
    <w:rsid w:val="00E97C3F"/>
    <w:rsid w:val="00EA6027"/>
    <w:rsid w:val="00EB00F6"/>
    <w:rsid w:val="00EC284C"/>
    <w:rsid w:val="00EC3334"/>
    <w:rsid w:val="00ED282B"/>
    <w:rsid w:val="00ED62A0"/>
    <w:rsid w:val="00EE0E04"/>
    <w:rsid w:val="00EE3444"/>
    <w:rsid w:val="00EE4C3F"/>
    <w:rsid w:val="00EE4CC1"/>
    <w:rsid w:val="00EF0838"/>
    <w:rsid w:val="00EF41EA"/>
    <w:rsid w:val="00EF4565"/>
    <w:rsid w:val="00EF45F0"/>
    <w:rsid w:val="00F023E0"/>
    <w:rsid w:val="00F03FCB"/>
    <w:rsid w:val="00F152C3"/>
    <w:rsid w:val="00F1609D"/>
    <w:rsid w:val="00F1666A"/>
    <w:rsid w:val="00F1699A"/>
    <w:rsid w:val="00F17EBA"/>
    <w:rsid w:val="00F22798"/>
    <w:rsid w:val="00F255B9"/>
    <w:rsid w:val="00F37725"/>
    <w:rsid w:val="00F40618"/>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F1048"/>
    <w:rsid w:val="00FF3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397</Pages>
  <Words>435129</Words>
  <Characters>248024</Characters>
  <Application>Microsoft Office Word</Application>
  <DocSecurity>0</DocSecurity>
  <Lines>2066</Lines>
  <Paragraphs>1363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681790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Āris Krūpens</cp:lastModifiedBy>
  <cp:revision>7</cp:revision>
  <cp:lastPrinted>2021-05-21T07:30:00Z</cp:lastPrinted>
  <dcterms:created xsi:type="dcterms:W3CDTF">2021-10-18T09:12:00Z</dcterms:created>
  <dcterms:modified xsi:type="dcterms:W3CDTF">2021-10-19T06:19:00Z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