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A0BCB" w14:textId="16EA0049" w:rsidR="00FF5CA4" w:rsidRPr="003648CC" w:rsidRDefault="00FF5CA4" w:rsidP="003648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520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piemaksu papildus resursu piesaistei </w:t>
      </w:r>
      <w:r w:rsidRPr="00FF5CA4">
        <w:rPr>
          <w:rFonts w:ascii="Times New Roman" w:hAnsi="Times New Roman" w:cs="Times New Roman"/>
          <w:b/>
          <w:bCs/>
          <w:sz w:val="24"/>
          <w:szCs w:val="24"/>
        </w:rPr>
        <w:t>Covid-19 vakcinācijas nodrošināšanai ģimenes ārsta praksē</w:t>
      </w:r>
    </w:p>
    <w:p w14:paraId="70D0D2C5" w14:textId="77777777" w:rsidR="00FF5CA4" w:rsidRDefault="00FF5CA4" w:rsidP="00FF5C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3F2B5" w14:textId="558F84C4" w:rsidR="002950D0" w:rsidRPr="003E77BE" w:rsidRDefault="002950D0" w:rsidP="003E77BE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77BE">
        <w:rPr>
          <w:rFonts w:ascii="Times New Roman" w:hAnsi="Times New Roman" w:cs="Times New Roman"/>
          <w:sz w:val="24"/>
          <w:szCs w:val="24"/>
        </w:rPr>
        <w:t>Nacionālais veselības dienests (turpmāk – Dienests) informē, ka saistībā ar 2021. gada 8. oktobra grozījumiem Ministru kabineta 2018. gada 28. augusta noteikumos Nr. 555 "</w:t>
      </w:r>
      <w:hyperlink r:id="rId4" w:tgtFrame="_blank" w:history="1">
        <w:r w:rsidRPr="003E77BE">
          <w:rPr>
            <w:rFonts w:ascii="Times New Roman" w:hAnsi="Times New Roman" w:cs="Times New Roman"/>
            <w:sz w:val="24"/>
            <w:szCs w:val="24"/>
          </w:rPr>
          <w:t>Veselības aprūpes pakalpojumu organizēšanas un samaksas kārtība</w:t>
        </w:r>
      </w:hyperlink>
      <w:r w:rsidRPr="003E77BE">
        <w:rPr>
          <w:rFonts w:ascii="Times New Roman" w:hAnsi="Times New Roman" w:cs="Times New Roman"/>
          <w:sz w:val="24"/>
          <w:szCs w:val="24"/>
        </w:rPr>
        <w:t>" Dienests 11. oktobrī izsūtīja ģimenes ārstiem vēstuli par izmaiņām manipulāciju sarakstā. Tā kā Dienests ir saņēmis vairākus jautājumus par manipulācijas būtību, Dienests sniedz papildus skaidrojošo informāciju.</w:t>
      </w:r>
    </w:p>
    <w:p w14:paraId="36B56214" w14:textId="543BBB6A" w:rsidR="002950D0" w:rsidRPr="003E77BE" w:rsidRDefault="002950D0" w:rsidP="003E77B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7BE">
        <w:rPr>
          <w:rFonts w:ascii="Times New Roman" w:hAnsi="Times New Roman" w:cs="Times New Roman"/>
          <w:sz w:val="24"/>
          <w:szCs w:val="24"/>
        </w:rPr>
        <w:tab/>
        <w:t xml:space="preserve">Manipulācija paredzēta ģimenes ārstiem, kas </w:t>
      </w:r>
      <w:r w:rsidRPr="003E77BE">
        <w:rPr>
          <w:rFonts w:ascii="Times New Roman" w:hAnsi="Times New Roman" w:cs="Times New Roman"/>
          <w:b/>
          <w:bCs/>
          <w:sz w:val="24"/>
          <w:szCs w:val="24"/>
        </w:rPr>
        <w:t xml:space="preserve">paši veic savu pacientu vakcināciju </w:t>
      </w:r>
      <w:r w:rsidRPr="003E77BE">
        <w:rPr>
          <w:rFonts w:ascii="Times New Roman" w:hAnsi="Times New Roman" w:cs="Times New Roman"/>
          <w:sz w:val="24"/>
          <w:szCs w:val="24"/>
        </w:rPr>
        <w:t xml:space="preserve">pret Covid-19. Manipulācijas izveide saistīta ar ģimenes ārstu </w:t>
      </w:r>
      <w:r w:rsidR="001D33A0" w:rsidRPr="003E77BE">
        <w:rPr>
          <w:rFonts w:ascii="Times New Roman" w:hAnsi="Times New Roman" w:cs="Times New Roman"/>
          <w:sz w:val="24"/>
          <w:szCs w:val="24"/>
        </w:rPr>
        <w:t>līdz šim norādītajām problēmām – resursu trūkumu</w:t>
      </w:r>
      <w:r w:rsidR="003E77BE">
        <w:rPr>
          <w:rFonts w:ascii="Times New Roman" w:hAnsi="Times New Roman" w:cs="Times New Roman"/>
          <w:sz w:val="24"/>
          <w:szCs w:val="24"/>
        </w:rPr>
        <w:t>, lai pilnībā iesaistītos vakcinācijā</w:t>
      </w:r>
      <w:r w:rsidR="001D33A0" w:rsidRPr="003E77BE">
        <w:rPr>
          <w:rFonts w:ascii="Times New Roman" w:hAnsi="Times New Roman" w:cs="Times New Roman"/>
          <w:sz w:val="24"/>
          <w:szCs w:val="24"/>
        </w:rPr>
        <w:t>. Manipulācijas tarifā iekļauts</w:t>
      </w:r>
      <w:r w:rsidR="003E77BE">
        <w:rPr>
          <w:rFonts w:ascii="Times New Roman" w:hAnsi="Times New Roman" w:cs="Times New Roman"/>
          <w:sz w:val="24"/>
          <w:szCs w:val="24"/>
        </w:rPr>
        <w:t xml:space="preserve"> </w:t>
      </w:r>
      <w:r w:rsidR="001D33A0" w:rsidRPr="003E77BE">
        <w:rPr>
          <w:rFonts w:ascii="Times New Roman" w:hAnsi="Times New Roman" w:cs="Times New Roman"/>
          <w:sz w:val="24"/>
          <w:szCs w:val="24"/>
        </w:rPr>
        <w:t>papildus darba laik</w:t>
      </w:r>
      <w:r w:rsidR="009128DB">
        <w:rPr>
          <w:rFonts w:ascii="Times New Roman" w:hAnsi="Times New Roman" w:cs="Times New Roman"/>
          <w:sz w:val="24"/>
          <w:szCs w:val="24"/>
        </w:rPr>
        <w:t>a apmaksa</w:t>
      </w:r>
      <w:r w:rsidR="001D33A0" w:rsidRPr="003E77BE">
        <w:rPr>
          <w:rFonts w:ascii="Times New Roman" w:hAnsi="Times New Roman" w:cs="Times New Roman"/>
          <w:sz w:val="24"/>
          <w:szCs w:val="24"/>
        </w:rPr>
        <w:t>, kas nepieciešam</w:t>
      </w:r>
      <w:r w:rsidR="009128DB">
        <w:rPr>
          <w:rFonts w:ascii="Times New Roman" w:hAnsi="Times New Roman" w:cs="Times New Roman"/>
          <w:sz w:val="24"/>
          <w:szCs w:val="24"/>
        </w:rPr>
        <w:t>a</w:t>
      </w:r>
      <w:r w:rsidR="001D33A0" w:rsidRPr="003E77BE">
        <w:rPr>
          <w:rFonts w:ascii="Times New Roman" w:hAnsi="Times New Roman" w:cs="Times New Roman"/>
          <w:sz w:val="24"/>
          <w:szCs w:val="24"/>
        </w:rPr>
        <w:t>, lai palielinātu ģimenes ārstu kapacitāti vakcinācijas veikšanai, kā arī papildus tehniskais nodrošinājums prakses uzturēšanai, piemēram, komunālo izdevumu segšanai, kas saistīts ar pagarināto prakses laiku vai papildus telpu nomu.</w:t>
      </w:r>
    </w:p>
    <w:tbl>
      <w:tblPr>
        <w:tblW w:w="8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567"/>
        <w:gridCol w:w="567"/>
        <w:gridCol w:w="567"/>
        <w:gridCol w:w="567"/>
        <w:gridCol w:w="567"/>
        <w:gridCol w:w="630"/>
        <w:gridCol w:w="898"/>
      </w:tblGrid>
      <w:tr w:rsidR="001D33A0" w:rsidRPr="003E77BE" w14:paraId="1AAD80A7" w14:textId="77777777" w:rsidTr="003E77BE">
        <w:trPr>
          <w:trHeight w:val="46"/>
        </w:trPr>
        <w:tc>
          <w:tcPr>
            <w:tcW w:w="846" w:type="dxa"/>
            <w:shd w:val="clear" w:color="auto" w:fill="FFE599" w:themeFill="accent4" w:themeFillTint="66"/>
            <w:vAlign w:val="center"/>
          </w:tcPr>
          <w:p w14:paraId="14BBC701" w14:textId="60190FE2" w:rsidR="001D33A0" w:rsidRPr="003E77BE" w:rsidRDefault="001D33A0" w:rsidP="003E77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E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Kods</w:t>
            </w:r>
          </w:p>
        </w:tc>
        <w:tc>
          <w:tcPr>
            <w:tcW w:w="3118" w:type="dxa"/>
            <w:shd w:val="clear" w:color="auto" w:fill="FFE599" w:themeFill="accent4" w:themeFillTint="66"/>
            <w:vAlign w:val="center"/>
          </w:tcPr>
          <w:p w14:paraId="11665729" w14:textId="271368ED" w:rsidR="001D33A0" w:rsidRPr="003E77BE" w:rsidRDefault="001D33A0" w:rsidP="003E77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E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567" w:type="dxa"/>
            <w:shd w:val="clear" w:color="auto" w:fill="FFE599" w:themeFill="accent4" w:themeFillTint="66"/>
            <w:noWrap/>
            <w:vAlign w:val="center"/>
            <w:hideMark/>
          </w:tcPr>
          <w:p w14:paraId="57154001" w14:textId="1409B810" w:rsidR="001D33A0" w:rsidRPr="001D33A0" w:rsidRDefault="001D33A0" w:rsidP="003E77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E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</w:t>
            </w:r>
          </w:p>
        </w:tc>
        <w:tc>
          <w:tcPr>
            <w:tcW w:w="567" w:type="dxa"/>
            <w:shd w:val="clear" w:color="auto" w:fill="FFE599" w:themeFill="accent4" w:themeFillTint="66"/>
            <w:noWrap/>
            <w:vAlign w:val="center"/>
            <w:hideMark/>
          </w:tcPr>
          <w:p w14:paraId="654550AF" w14:textId="60AED3EE" w:rsidR="001D33A0" w:rsidRPr="001D33A0" w:rsidRDefault="001D33A0" w:rsidP="003E77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E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</w:t>
            </w:r>
          </w:p>
        </w:tc>
        <w:tc>
          <w:tcPr>
            <w:tcW w:w="567" w:type="dxa"/>
            <w:shd w:val="clear" w:color="auto" w:fill="FFE599" w:themeFill="accent4" w:themeFillTint="66"/>
            <w:noWrap/>
            <w:vAlign w:val="center"/>
            <w:hideMark/>
          </w:tcPr>
          <w:p w14:paraId="2F35401D" w14:textId="17B136C4" w:rsidR="001D33A0" w:rsidRPr="001D33A0" w:rsidRDefault="001D33A0" w:rsidP="003E77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E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</w:t>
            </w:r>
          </w:p>
        </w:tc>
        <w:tc>
          <w:tcPr>
            <w:tcW w:w="567" w:type="dxa"/>
            <w:shd w:val="clear" w:color="auto" w:fill="FFE599" w:themeFill="accent4" w:themeFillTint="66"/>
            <w:noWrap/>
            <w:vAlign w:val="center"/>
            <w:hideMark/>
          </w:tcPr>
          <w:p w14:paraId="1B21093A" w14:textId="7583A22F" w:rsidR="001D33A0" w:rsidRPr="001D33A0" w:rsidRDefault="001D33A0" w:rsidP="003E77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E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</w:t>
            </w:r>
          </w:p>
        </w:tc>
        <w:tc>
          <w:tcPr>
            <w:tcW w:w="567" w:type="dxa"/>
            <w:shd w:val="clear" w:color="auto" w:fill="FFE599" w:themeFill="accent4" w:themeFillTint="66"/>
            <w:noWrap/>
            <w:vAlign w:val="center"/>
            <w:hideMark/>
          </w:tcPr>
          <w:p w14:paraId="5D6BBA54" w14:textId="3B436E8F" w:rsidR="001D33A0" w:rsidRPr="001D33A0" w:rsidRDefault="001D33A0" w:rsidP="003E77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E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</w:t>
            </w:r>
          </w:p>
        </w:tc>
        <w:tc>
          <w:tcPr>
            <w:tcW w:w="630" w:type="dxa"/>
            <w:shd w:val="clear" w:color="auto" w:fill="FFE599" w:themeFill="accent4" w:themeFillTint="66"/>
            <w:noWrap/>
            <w:vAlign w:val="center"/>
            <w:hideMark/>
          </w:tcPr>
          <w:p w14:paraId="08D81491" w14:textId="6E562B4E" w:rsidR="001D33A0" w:rsidRPr="001D33A0" w:rsidRDefault="001D33A0" w:rsidP="003E77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E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</w:t>
            </w:r>
          </w:p>
        </w:tc>
        <w:tc>
          <w:tcPr>
            <w:tcW w:w="898" w:type="dxa"/>
            <w:shd w:val="clear" w:color="auto" w:fill="FFE599" w:themeFill="accent4" w:themeFillTint="66"/>
            <w:noWrap/>
            <w:vAlign w:val="center"/>
            <w:hideMark/>
          </w:tcPr>
          <w:p w14:paraId="76E718C0" w14:textId="3E881726" w:rsidR="001D33A0" w:rsidRPr="001D33A0" w:rsidRDefault="001D33A0" w:rsidP="003E77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E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Tarifs, </w:t>
            </w:r>
            <w:proofErr w:type="spellStart"/>
            <w:r w:rsidRPr="003E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euro</w:t>
            </w:r>
            <w:proofErr w:type="spellEnd"/>
          </w:p>
        </w:tc>
      </w:tr>
      <w:tr w:rsidR="003E77BE" w:rsidRPr="003E77BE" w14:paraId="584EE09C" w14:textId="77777777" w:rsidTr="003E77BE">
        <w:trPr>
          <w:trHeight w:val="245"/>
        </w:trPr>
        <w:tc>
          <w:tcPr>
            <w:tcW w:w="846" w:type="dxa"/>
            <w:shd w:val="clear" w:color="000000" w:fill="FFFFFF"/>
            <w:vAlign w:val="center"/>
          </w:tcPr>
          <w:p w14:paraId="3D19D33B" w14:textId="09C57250" w:rsidR="001D33A0" w:rsidRPr="003E77BE" w:rsidRDefault="001D33A0" w:rsidP="003E77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E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03094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14:paraId="605075E3" w14:textId="1F441584" w:rsidR="001D33A0" w:rsidRPr="003E77BE" w:rsidRDefault="001D33A0" w:rsidP="003E77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E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ģimenes ārstam par papildus resursu piesaisti Covid-19 vakcinācijas nodrošināšanai ģimenes ārsta praksē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D2D46BC" w14:textId="1E2A8581" w:rsidR="001D33A0" w:rsidRPr="001D33A0" w:rsidRDefault="001D33A0" w:rsidP="003E77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3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CFF5964" w14:textId="77777777" w:rsidR="001D33A0" w:rsidRPr="001D33A0" w:rsidRDefault="001D33A0" w:rsidP="003E77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3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B15028F" w14:textId="77777777" w:rsidR="001D33A0" w:rsidRPr="001D33A0" w:rsidRDefault="001D33A0" w:rsidP="003E77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3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D52FFE6" w14:textId="77777777" w:rsidR="001D33A0" w:rsidRPr="001D33A0" w:rsidRDefault="001D33A0" w:rsidP="003E77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3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42FDD8B" w14:textId="77777777" w:rsidR="001D33A0" w:rsidRPr="001D33A0" w:rsidRDefault="001D33A0" w:rsidP="003E77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3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0.13</w:t>
            </w:r>
          </w:p>
        </w:tc>
        <w:tc>
          <w:tcPr>
            <w:tcW w:w="630" w:type="dxa"/>
            <w:shd w:val="clear" w:color="000000" w:fill="FFFFFF"/>
            <w:noWrap/>
            <w:vAlign w:val="center"/>
            <w:hideMark/>
          </w:tcPr>
          <w:p w14:paraId="2B52DFCF" w14:textId="77777777" w:rsidR="001D33A0" w:rsidRPr="001D33A0" w:rsidRDefault="001D33A0" w:rsidP="003E77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3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3.62</w:t>
            </w:r>
          </w:p>
        </w:tc>
        <w:tc>
          <w:tcPr>
            <w:tcW w:w="898" w:type="dxa"/>
            <w:shd w:val="clear" w:color="auto" w:fill="FFE599" w:themeFill="accent4" w:themeFillTint="66"/>
            <w:noWrap/>
            <w:vAlign w:val="center"/>
            <w:hideMark/>
          </w:tcPr>
          <w:p w14:paraId="0F5F5BBB" w14:textId="77777777" w:rsidR="001D33A0" w:rsidRPr="001D33A0" w:rsidRDefault="001D33A0" w:rsidP="003E7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3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11.87</w:t>
            </w:r>
          </w:p>
        </w:tc>
      </w:tr>
    </w:tbl>
    <w:p w14:paraId="62F51410" w14:textId="77777777" w:rsidR="001D33A0" w:rsidRPr="003E77BE" w:rsidRDefault="001D33A0" w:rsidP="002950D0">
      <w:pPr>
        <w:rPr>
          <w:rFonts w:ascii="Times New Roman" w:hAnsi="Times New Roman" w:cs="Times New Roman"/>
          <w:sz w:val="24"/>
          <w:szCs w:val="24"/>
        </w:rPr>
      </w:pPr>
    </w:p>
    <w:p w14:paraId="67B6AEDC" w14:textId="5B0F5531" w:rsidR="002950D0" w:rsidRDefault="003E77BE" w:rsidP="003E77BE">
      <w:pPr>
        <w:jc w:val="both"/>
        <w:rPr>
          <w:rFonts w:ascii="Times New Roman" w:hAnsi="Times New Roman" w:cs="Times New Roman"/>
          <w:sz w:val="24"/>
          <w:szCs w:val="24"/>
        </w:rPr>
      </w:pPr>
      <w:r w:rsidRPr="003E77BE">
        <w:rPr>
          <w:rFonts w:ascii="Times New Roman" w:hAnsi="Times New Roman" w:cs="Times New Roman"/>
          <w:sz w:val="24"/>
          <w:szCs w:val="24"/>
        </w:rPr>
        <w:tab/>
        <w:t>Manip</w:t>
      </w:r>
      <w:r>
        <w:rPr>
          <w:rFonts w:ascii="Times New Roman" w:hAnsi="Times New Roman" w:cs="Times New Roman"/>
          <w:sz w:val="24"/>
          <w:szCs w:val="24"/>
        </w:rPr>
        <w:t xml:space="preserve">ulācija paredzēta kā piemaksa pie katras vakcīnas ievades ģimenes ārsta </w:t>
      </w:r>
      <w:r w:rsidRPr="003E77BE">
        <w:rPr>
          <w:rFonts w:ascii="Times New Roman" w:hAnsi="Times New Roman" w:cs="Times New Roman"/>
          <w:b/>
          <w:bCs/>
          <w:sz w:val="24"/>
          <w:szCs w:val="24"/>
        </w:rPr>
        <w:t>praksē reģistrētajiem pacientiem</w:t>
      </w:r>
      <w:r>
        <w:rPr>
          <w:rFonts w:ascii="Times New Roman" w:hAnsi="Times New Roman" w:cs="Times New Roman"/>
          <w:sz w:val="24"/>
          <w:szCs w:val="24"/>
        </w:rPr>
        <w:t xml:space="preserve">. Dienests 12. oktobrī ir precizējis apmaksas nosacījumus, papildinot tos ar informāciju, ka manipulāciju norāda gadījumos, kad pacients saņem  pirmo vai otru vakcīnas devu, bet nav norādāma </w:t>
      </w:r>
      <w:proofErr w:type="spellStart"/>
      <w:r>
        <w:rPr>
          <w:rFonts w:ascii="Times New Roman" w:hAnsi="Times New Roman" w:cs="Times New Roman"/>
          <w:sz w:val="24"/>
          <w:szCs w:val="24"/>
        </w:rPr>
        <w:t>balstvakcinācijas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gadījumā. </w:t>
      </w:r>
    </w:p>
    <w:p w14:paraId="76441483" w14:textId="06B116C6" w:rsidR="003E77BE" w:rsidRPr="003E77BE" w:rsidRDefault="003E77BE" w:rsidP="003E77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Manipulācija ir norādāma par vakcinācijas faktu</w:t>
      </w:r>
      <w:r w:rsidR="00FF5CA4">
        <w:rPr>
          <w:rFonts w:ascii="Times New Roman" w:hAnsi="Times New Roman" w:cs="Times New Roman"/>
          <w:sz w:val="24"/>
          <w:szCs w:val="24"/>
        </w:rPr>
        <w:t>, sākot</w:t>
      </w:r>
      <w:r>
        <w:rPr>
          <w:rFonts w:ascii="Times New Roman" w:hAnsi="Times New Roman" w:cs="Times New Roman"/>
          <w:sz w:val="24"/>
          <w:szCs w:val="24"/>
        </w:rPr>
        <w:t xml:space="preserve"> no 1. oktobra. Dienests aicina izmantot</w:t>
      </w:r>
      <w:r w:rsidR="009128DB">
        <w:rPr>
          <w:rFonts w:ascii="Times New Roman" w:hAnsi="Times New Roman" w:cs="Times New Roman"/>
          <w:sz w:val="24"/>
          <w:szCs w:val="24"/>
        </w:rPr>
        <w:t xml:space="preserve"> iespēju piesaistīt praksei papildus cilvēkresursus vakcinācijas </w:t>
      </w:r>
      <w:r w:rsidR="00FF5CA4">
        <w:rPr>
          <w:rFonts w:ascii="Times New Roman" w:hAnsi="Times New Roman" w:cs="Times New Roman"/>
          <w:sz w:val="24"/>
          <w:szCs w:val="24"/>
        </w:rPr>
        <w:t xml:space="preserve">procesa </w:t>
      </w:r>
      <w:r w:rsidR="009128DB">
        <w:rPr>
          <w:rFonts w:ascii="Times New Roman" w:hAnsi="Times New Roman" w:cs="Times New Roman"/>
          <w:sz w:val="24"/>
          <w:szCs w:val="24"/>
        </w:rPr>
        <w:t>nodrošināšanai</w:t>
      </w:r>
      <w:r w:rsidR="00FF5CA4">
        <w:rPr>
          <w:rFonts w:ascii="Times New Roman" w:hAnsi="Times New Roman" w:cs="Times New Roman"/>
          <w:sz w:val="24"/>
          <w:szCs w:val="24"/>
        </w:rPr>
        <w:t xml:space="preserve"> (tai skaitā, dokumentācijas aizpildīšanai)</w:t>
      </w:r>
      <w:r w:rsidR="009128DB">
        <w:rPr>
          <w:rFonts w:ascii="Times New Roman" w:hAnsi="Times New Roman" w:cs="Times New Roman"/>
          <w:sz w:val="24"/>
          <w:szCs w:val="24"/>
        </w:rPr>
        <w:t xml:space="preserve"> un atbilstoši papildināt talonus no 1. oktobra ar jauno manipulāciju. Manipulācija norādāma kopā ar tādām vakcinācijas manipulācijām, kas apstiprina pacienta vakcināciju pret Covid-19, piemēram </w:t>
      </w:r>
      <w:r w:rsidR="009128DB" w:rsidRPr="009128DB">
        <w:rPr>
          <w:rFonts w:ascii="Times New Roman" w:hAnsi="Times New Roman" w:cs="Times New Roman"/>
          <w:sz w:val="24"/>
          <w:szCs w:val="24"/>
        </w:rPr>
        <w:t>0308</w:t>
      </w:r>
      <w:r w:rsidR="009128DB">
        <w:rPr>
          <w:rFonts w:ascii="Times New Roman" w:hAnsi="Times New Roman" w:cs="Times New Roman"/>
          <w:sz w:val="24"/>
          <w:szCs w:val="24"/>
        </w:rPr>
        <w:t xml:space="preserve">1, </w:t>
      </w:r>
      <w:r w:rsidR="009128DB" w:rsidRPr="009128DB">
        <w:rPr>
          <w:rFonts w:ascii="Times New Roman" w:hAnsi="Times New Roman" w:cs="Times New Roman"/>
          <w:sz w:val="24"/>
          <w:szCs w:val="24"/>
        </w:rPr>
        <w:t>03097</w:t>
      </w:r>
      <w:r w:rsidR="009128DB">
        <w:rPr>
          <w:rFonts w:ascii="Times New Roman" w:hAnsi="Times New Roman" w:cs="Times New Roman"/>
          <w:sz w:val="24"/>
          <w:szCs w:val="24"/>
        </w:rPr>
        <w:t xml:space="preserve">, </w:t>
      </w:r>
      <w:r w:rsidR="009128DB" w:rsidRPr="009128DB">
        <w:rPr>
          <w:rFonts w:ascii="Times New Roman" w:hAnsi="Times New Roman" w:cs="Times New Roman"/>
          <w:sz w:val="24"/>
          <w:szCs w:val="24"/>
        </w:rPr>
        <w:t>60059</w:t>
      </w:r>
      <w:r w:rsidR="009128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90D4CA" w14:textId="42550864" w:rsidR="002950D0" w:rsidRDefault="002950D0" w:rsidP="002950D0">
      <w:pPr>
        <w:rPr>
          <w:b/>
          <w:bCs/>
          <w:sz w:val="24"/>
          <w:szCs w:val="24"/>
        </w:rPr>
      </w:pPr>
    </w:p>
    <w:p w14:paraId="532FB5A0" w14:textId="68579809" w:rsidR="00DB520C" w:rsidRDefault="00DB520C" w:rsidP="002950D0">
      <w:pPr>
        <w:rPr>
          <w:b/>
          <w:bCs/>
          <w:sz w:val="24"/>
          <w:szCs w:val="24"/>
        </w:rPr>
      </w:pPr>
    </w:p>
    <w:p w14:paraId="0370741B" w14:textId="0C22D354" w:rsidR="00DB520C" w:rsidRDefault="00DB520C" w:rsidP="002950D0">
      <w:pPr>
        <w:rPr>
          <w:b/>
          <w:bCs/>
          <w:sz w:val="24"/>
          <w:szCs w:val="24"/>
        </w:rPr>
      </w:pPr>
    </w:p>
    <w:p w14:paraId="2F11F4BD" w14:textId="5EE6CB7A" w:rsidR="00DB520C" w:rsidRDefault="00DB520C" w:rsidP="002950D0">
      <w:pPr>
        <w:rPr>
          <w:b/>
          <w:bCs/>
          <w:sz w:val="24"/>
          <w:szCs w:val="24"/>
        </w:rPr>
      </w:pPr>
    </w:p>
    <w:p w14:paraId="5718F8D6" w14:textId="77777777" w:rsidR="00DB520C" w:rsidRDefault="00DB520C" w:rsidP="002950D0">
      <w:pPr>
        <w:rPr>
          <w:b/>
          <w:bCs/>
          <w:sz w:val="24"/>
          <w:szCs w:val="24"/>
        </w:rPr>
      </w:pPr>
    </w:p>
    <w:p w14:paraId="603CFDB5" w14:textId="77777777" w:rsidR="002950D0" w:rsidRDefault="002950D0" w:rsidP="002950D0">
      <w:pPr>
        <w:rPr>
          <w:b/>
          <w:bCs/>
          <w:sz w:val="24"/>
          <w:szCs w:val="24"/>
        </w:rPr>
      </w:pPr>
    </w:p>
    <w:p w14:paraId="73980CC8" w14:textId="28F5E64F" w:rsidR="00DB520C" w:rsidRPr="00DB520C" w:rsidRDefault="00DB520C" w:rsidP="00DB520C">
      <w:pPr>
        <w:rPr>
          <w:rFonts w:ascii="Times New Roman" w:hAnsi="Times New Roman" w:cs="Times New Roman"/>
          <w:sz w:val="24"/>
          <w:szCs w:val="24"/>
        </w:rPr>
      </w:pPr>
    </w:p>
    <w:sectPr w:rsidR="00DB520C" w:rsidRPr="00DB52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D0"/>
    <w:rsid w:val="00151AF8"/>
    <w:rsid w:val="001D33A0"/>
    <w:rsid w:val="002950D0"/>
    <w:rsid w:val="003648CC"/>
    <w:rsid w:val="00397841"/>
    <w:rsid w:val="003E77BE"/>
    <w:rsid w:val="009128DB"/>
    <w:rsid w:val="00DB520C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9142F3"/>
  <w15:chartTrackingRefBased/>
  <w15:docId w15:val="{C08628E4-17D9-4F89-9ED1-8C0CCC9C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0D0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link w:val="Heading3Char"/>
    <w:uiPriority w:val="9"/>
    <w:qFormat/>
    <w:rsid w:val="002950D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950D0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2950D0"/>
    <w:rPr>
      <w:color w:val="0000FF"/>
      <w:u w:val="single"/>
    </w:rPr>
  </w:style>
  <w:style w:type="paragraph" w:customStyle="1" w:styleId="text-align-justify">
    <w:name w:val="text-align-justify"/>
    <w:basedOn w:val="Normal"/>
    <w:rsid w:val="00DB52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.likumi.lv/ta/id/301399-veselibas-aprupes-pakalpojumu-organizesanas-un-samaksas-karti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1402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Baškevica</dc:creator>
  <cp:keywords/>
  <dc:description/>
  <cp:lastModifiedBy>Ieva Silionova</cp:lastModifiedBy>
  <cp:revision>4</cp:revision>
  <dcterms:created xsi:type="dcterms:W3CDTF">2021-10-14T11:48:00Z</dcterms:created>
  <dcterms:modified xsi:type="dcterms:W3CDTF">2021-10-14T12:21:00Z</dcterms:modified>
</cp:coreProperties>
</file>