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8E1" w:rsidRPr="00E93FA6" w:rsidRDefault="006838E1" w:rsidP="006838E1">
      <w:pPr>
        <w:pStyle w:val="NoSpacing"/>
        <w:jc w:val="right"/>
        <w:rPr>
          <w:rFonts w:ascii="Times New Roman" w:hAnsi="Times New Roman" w:cs="Times New Roman"/>
          <w:i/>
          <w:sz w:val="24"/>
          <w:szCs w:val="24"/>
          <w:lang w:eastAsia="en-GB"/>
        </w:rPr>
      </w:pPr>
      <w:r w:rsidRPr="00E93FA6">
        <w:rPr>
          <w:rFonts w:ascii="Times New Roman" w:hAnsi="Times New Roman" w:cs="Times New Roman"/>
          <w:i/>
          <w:sz w:val="24"/>
          <w:szCs w:val="24"/>
          <w:lang w:eastAsia="en-GB"/>
        </w:rPr>
        <w:t xml:space="preserve">Līguma par </w:t>
      </w:r>
      <w:r>
        <w:rPr>
          <w:rFonts w:ascii="Times New Roman" w:hAnsi="Times New Roman" w:cs="Times New Roman"/>
          <w:i/>
          <w:sz w:val="24"/>
          <w:szCs w:val="24"/>
          <w:lang w:eastAsia="en-GB"/>
        </w:rPr>
        <w:t>medicīniskās apaugļošanas</w:t>
      </w:r>
      <w:r w:rsidRPr="00E93FA6">
        <w:rPr>
          <w:rFonts w:ascii="Times New Roman" w:hAnsi="Times New Roman" w:cs="Times New Roman"/>
          <w:i/>
          <w:sz w:val="24"/>
          <w:szCs w:val="24"/>
          <w:lang w:eastAsia="en-GB"/>
        </w:rPr>
        <w:t xml:space="preserve"> pakalpojumu sniegšanu un apmaksu</w:t>
      </w:r>
    </w:p>
    <w:p w:rsidR="00B26067" w:rsidRPr="006838E1" w:rsidRDefault="006838E1" w:rsidP="006838E1">
      <w:pPr>
        <w:pStyle w:val="NoSpacing"/>
        <w:jc w:val="right"/>
        <w:rPr>
          <w:rFonts w:ascii="Times New Roman" w:eastAsia="Calibri" w:hAnsi="Times New Roman" w:cs="Times New Roman"/>
          <w:i/>
          <w:sz w:val="24"/>
          <w:szCs w:val="24"/>
        </w:rPr>
      </w:pPr>
      <w:r w:rsidRPr="00E93FA6">
        <w:rPr>
          <w:rFonts w:ascii="Times New Roman" w:hAnsi="Times New Roman" w:cs="Times New Roman"/>
          <w:i/>
          <w:sz w:val="24"/>
          <w:szCs w:val="24"/>
          <w:lang w:eastAsia="en-GB"/>
        </w:rPr>
        <w:t>7</w:t>
      </w:r>
      <w:r>
        <w:rPr>
          <w:rFonts w:ascii="Times New Roman" w:hAnsi="Times New Roman" w:cs="Times New Roman"/>
          <w:i/>
          <w:sz w:val="24"/>
          <w:szCs w:val="24"/>
          <w:lang w:eastAsia="en-GB"/>
        </w:rPr>
        <w:t>.1.9</w:t>
      </w:r>
      <w:r w:rsidRPr="00E93FA6">
        <w:rPr>
          <w:rFonts w:ascii="Times New Roman" w:hAnsi="Times New Roman" w:cs="Times New Roman"/>
          <w:i/>
          <w:sz w:val="24"/>
          <w:szCs w:val="24"/>
          <w:lang w:eastAsia="en-GB"/>
        </w:rPr>
        <w:t>.punkts</w:t>
      </w:r>
      <w:r w:rsidR="00B26067" w:rsidRPr="00E93FA6">
        <w:rPr>
          <w:rFonts w:ascii="Times New Roman" w:hAnsi="Times New Roman" w:cs="Times New Roman"/>
          <w:sz w:val="24"/>
          <w:szCs w:val="24"/>
        </w:rPr>
        <w:t xml:space="preserve"> </w:t>
      </w:r>
    </w:p>
    <w:p w:rsidR="00774BF6" w:rsidRPr="00E93FA6" w:rsidRDefault="00CC36F3" w:rsidP="00F849AC">
      <w:pPr>
        <w:ind w:left="851" w:hanging="709"/>
        <w:jc w:val="center"/>
        <w:rPr>
          <w:rFonts w:ascii="Times New Roman" w:hAnsi="Times New Roman" w:cs="Times New Roman"/>
          <w:sz w:val="24"/>
          <w:szCs w:val="24"/>
        </w:rPr>
      </w:pPr>
      <w:r w:rsidRPr="00E93FA6">
        <w:rPr>
          <w:rFonts w:ascii="Times New Roman" w:hAnsi="Times New Roman" w:cs="Times New Roman"/>
          <w:sz w:val="24"/>
          <w:szCs w:val="24"/>
        </w:rPr>
        <w:t xml:space="preserve"> </w:t>
      </w:r>
    </w:p>
    <w:p w:rsidR="00B75E92" w:rsidRDefault="00B75E92" w:rsidP="00E93FA6">
      <w:pPr>
        <w:spacing w:after="360"/>
        <w:ind w:firstLine="720"/>
        <w:jc w:val="both"/>
        <w:rPr>
          <w:rFonts w:ascii="Times New Roman" w:hAnsi="Times New Roman" w:cs="Times New Roman"/>
          <w:b/>
          <w:sz w:val="24"/>
          <w:szCs w:val="24"/>
        </w:rPr>
      </w:pPr>
      <w:r w:rsidRPr="00B75E92">
        <w:rPr>
          <w:rFonts w:ascii="Times New Roman" w:hAnsi="Times New Roman" w:cs="Times New Roman"/>
          <w:b/>
          <w:sz w:val="24"/>
          <w:szCs w:val="24"/>
        </w:rPr>
        <w:t>Ārstniecības iestādes kompensācijas maksājuma gatavības režīma nodrošināšanai aprēķina metodika un apmaksas kārtība</w:t>
      </w:r>
      <w:r>
        <w:rPr>
          <w:rFonts w:ascii="Times New Roman" w:hAnsi="Times New Roman" w:cs="Times New Roman"/>
          <w:b/>
          <w:sz w:val="24"/>
          <w:szCs w:val="24"/>
        </w:rPr>
        <w:t xml:space="preserve"> </w:t>
      </w:r>
    </w:p>
    <w:p w:rsidR="00B75E92" w:rsidRPr="00D174E9" w:rsidRDefault="00B75E92" w:rsidP="00D174E9">
      <w:pPr>
        <w:pStyle w:val="NormalWeb"/>
        <w:numPr>
          <w:ilvl w:val="0"/>
          <w:numId w:val="23"/>
        </w:numPr>
        <w:spacing w:before="0" w:beforeAutospacing="0" w:after="0" w:afterAutospacing="0"/>
        <w:ind w:left="284" w:hanging="284"/>
        <w:jc w:val="both"/>
        <w:rPr>
          <w:lang w:val="lv-LV"/>
        </w:rPr>
      </w:pPr>
      <w:r w:rsidRPr="00B75E92">
        <w:rPr>
          <w:lang w:val="lv-LV"/>
        </w:rPr>
        <w:t xml:space="preserve">DIENESTS par ārstniecības personu pieejamības, ārstniecības iestāžu darbības un valsts apmaksāto veselības aprūpes pakalpojumu pieejamības saglabāšanu un nodrošināšanu pēc ārkārtas situācijas beigām (gatavības režīma nodrošināšana) </w:t>
      </w:r>
      <w:r w:rsidRPr="00D174E9">
        <w:rPr>
          <w:lang w:val="lv-LV"/>
        </w:rPr>
        <w:t>IZPILDĪTĀJAM maksā kompensācijas maksājumu (turpmāk - Kompensācijas maksājums).</w:t>
      </w:r>
    </w:p>
    <w:p w:rsidR="00D174E9" w:rsidRPr="00D174E9" w:rsidRDefault="00D174E9" w:rsidP="00D174E9">
      <w:pPr>
        <w:pStyle w:val="NormalWeb"/>
        <w:spacing w:before="0" w:beforeAutospacing="0" w:after="0" w:afterAutospacing="0"/>
        <w:ind w:left="284" w:hanging="284"/>
        <w:jc w:val="both"/>
        <w:rPr>
          <w:lang w:val="lv-LV"/>
        </w:rPr>
      </w:pPr>
    </w:p>
    <w:p w:rsidR="00D174E9" w:rsidRPr="00D174E9" w:rsidRDefault="00B75E92" w:rsidP="00D174E9">
      <w:pPr>
        <w:pStyle w:val="NormalWeb"/>
        <w:numPr>
          <w:ilvl w:val="0"/>
          <w:numId w:val="23"/>
        </w:numPr>
        <w:spacing w:before="0" w:beforeAutospacing="0" w:after="0" w:afterAutospacing="0"/>
        <w:ind w:left="284" w:hanging="284"/>
        <w:jc w:val="both"/>
        <w:rPr>
          <w:lang w:val="lv-LV"/>
        </w:rPr>
      </w:pPr>
      <w:r w:rsidRPr="00D174E9">
        <w:rPr>
          <w:lang w:val="lv-LV"/>
        </w:rPr>
        <w:t>Kompensācijas maksājums tiek noteikts atbilstoši 2020.gada 12.marta Ministru kabineta rīkojumam  Nr. 103 “Par ārkārtējās situācijas izsludināšanu” par periodu no 2020. gada 13. marta līdz ārkārtas situācijas beigām.</w:t>
      </w:r>
    </w:p>
    <w:p w:rsidR="00D174E9" w:rsidRPr="00D174E9" w:rsidRDefault="00D174E9" w:rsidP="00D174E9">
      <w:pPr>
        <w:pStyle w:val="ListParagraph"/>
        <w:spacing w:after="0" w:line="240" w:lineRule="auto"/>
        <w:ind w:left="284" w:hanging="284"/>
      </w:pPr>
    </w:p>
    <w:p w:rsidR="00B75E92" w:rsidRPr="00D174E9" w:rsidRDefault="00B75E92" w:rsidP="00D174E9">
      <w:pPr>
        <w:pStyle w:val="NormalWeb"/>
        <w:numPr>
          <w:ilvl w:val="0"/>
          <w:numId w:val="23"/>
        </w:numPr>
        <w:spacing w:before="0" w:beforeAutospacing="0" w:after="0" w:afterAutospacing="0"/>
        <w:ind w:left="284" w:hanging="284"/>
        <w:jc w:val="both"/>
        <w:rPr>
          <w:lang w:val="lv-LV"/>
        </w:rPr>
      </w:pPr>
      <w:r w:rsidRPr="00D174E9">
        <w:rPr>
          <w:lang w:val="lv-LV"/>
        </w:rPr>
        <w:t xml:space="preserve">DIENESTS Kompensācijas maksājumu maksā par pakalpojumu </w:t>
      </w:r>
      <w:r w:rsidR="00D174E9" w:rsidRPr="00D174E9">
        <w:rPr>
          <w:lang w:val="lv-LV"/>
        </w:rPr>
        <w:t>veidiem</w:t>
      </w:r>
      <w:r w:rsidRPr="00D174E9">
        <w:rPr>
          <w:lang w:val="lv-LV"/>
        </w:rPr>
        <w:t>, kas atbilstoši 2020.gada 25.marta Veselības ministrijas izdotajam rīkojumam Nr. 59 “Par veselības aprūpes pakalpojumu sniegšanas ierobežošanu ārkārtējās situācijas laikā” (turpmāk – Rīkojums Nr.59) tiek ierobežotas vai tiek pārtraukta to nodrošināšana pilnībā līdz ārkārtas situācijas beigām</w:t>
      </w:r>
      <w:r w:rsidR="00D174E9" w:rsidRPr="00D174E9">
        <w:rPr>
          <w:lang w:val="lv-LV"/>
        </w:rPr>
        <w:t xml:space="preserve">, ievērojot šādus nosacījumus: </w:t>
      </w:r>
    </w:p>
    <w:p w:rsidR="00BD166B" w:rsidRPr="00D174E9" w:rsidRDefault="00BD166B" w:rsidP="00B26067">
      <w:pPr>
        <w:pStyle w:val="NormalWeb"/>
        <w:spacing w:before="0" w:beforeAutospacing="0" w:after="0" w:afterAutospacing="0"/>
        <w:jc w:val="both"/>
        <w:rPr>
          <w:lang w:val="lv-LV"/>
        </w:rPr>
      </w:pPr>
    </w:p>
    <w:p w:rsidR="00B70B9E" w:rsidRPr="00D174E9" w:rsidRDefault="00D174E9" w:rsidP="00B70B9E">
      <w:pPr>
        <w:pStyle w:val="NormalWeb"/>
        <w:numPr>
          <w:ilvl w:val="1"/>
          <w:numId w:val="23"/>
        </w:numPr>
        <w:spacing w:before="0" w:beforeAutospacing="0" w:after="0" w:afterAutospacing="0"/>
        <w:jc w:val="both"/>
        <w:rPr>
          <w:lang w:val="lv-LV"/>
        </w:rPr>
      </w:pPr>
      <w:r w:rsidRPr="00D174E9">
        <w:rPr>
          <w:lang w:val="lv-LV"/>
        </w:rPr>
        <w:t xml:space="preserve">tajos sekundārās ambulatorās veselības aprūpes pakalpojumu veidos, kuros    </w:t>
      </w:r>
      <w:r w:rsidR="00FF6F9E" w:rsidRPr="00FF6F9E">
        <w:rPr>
          <w:lang w:val="lv-LV"/>
        </w:rPr>
        <w:t xml:space="preserve">DIENESTS </w:t>
      </w:r>
      <w:r w:rsidR="005B6D4E">
        <w:rPr>
          <w:lang w:val="lv-LV"/>
        </w:rPr>
        <w:t xml:space="preserve">sniegtos pakalpojumus </w:t>
      </w:r>
      <w:r w:rsidR="00FF6F9E" w:rsidRPr="00FF6F9E">
        <w:rPr>
          <w:lang w:val="lv-LV"/>
        </w:rPr>
        <w:t xml:space="preserve">apmaksā atbilstoši faktiski sniegtajam pakalpojumu apjomam </w:t>
      </w:r>
      <w:r w:rsidR="00FF6F9E">
        <w:rPr>
          <w:lang w:val="lv-LV"/>
        </w:rPr>
        <w:t>(</w:t>
      </w:r>
      <w:r w:rsidRPr="00D174E9">
        <w:rPr>
          <w:lang w:val="lv-LV"/>
        </w:rPr>
        <w:t xml:space="preserve">līgumā </w:t>
      </w:r>
      <w:r>
        <w:rPr>
          <w:lang w:val="lv-LV"/>
        </w:rPr>
        <w:t xml:space="preserve">nav </w:t>
      </w:r>
      <w:r w:rsidRPr="00D174E9">
        <w:rPr>
          <w:lang w:val="lv-LV"/>
        </w:rPr>
        <w:t>noteikts plānotais finanšu apjoms pakalpojumu apmaksai</w:t>
      </w:r>
      <w:r w:rsidR="00FF6F9E">
        <w:rPr>
          <w:lang w:val="lv-LV"/>
        </w:rPr>
        <w:t xml:space="preserve">), </w:t>
      </w:r>
      <w:r w:rsidR="005B6D4E">
        <w:rPr>
          <w:lang w:val="lv-LV"/>
        </w:rPr>
        <w:t xml:space="preserve">DIENESTS </w:t>
      </w:r>
      <w:r w:rsidR="00FF6F9E">
        <w:rPr>
          <w:lang w:val="lv-LV"/>
        </w:rPr>
        <w:t>Kompensācijas maksājumu maksā, ja</w:t>
      </w:r>
      <w:r w:rsidR="00FF6F9E" w:rsidRPr="00FF6F9E">
        <w:t xml:space="preserve"> </w:t>
      </w:r>
      <w:r w:rsidR="00FF6F9E" w:rsidRPr="00FF6F9E">
        <w:rPr>
          <w:lang w:val="lv-LV"/>
        </w:rPr>
        <w:t xml:space="preserve">IZPILDĪTĀJA </w:t>
      </w:r>
      <w:r w:rsidR="00FF6F9E">
        <w:rPr>
          <w:lang w:val="lv-LV"/>
        </w:rPr>
        <w:t>faktiski sniegtais pakalpojumu apjoms mēnesī ir mazāks par iepriekšējā periodā sniegto pakalpojumu ap</w:t>
      </w:r>
      <w:r w:rsidR="00B70B9E">
        <w:rPr>
          <w:lang w:val="lv-LV"/>
        </w:rPr>
        <w:t>jomu</w:t>
      </w:r>
      <w:r w:rsidR="00FF6F9E">
        <w:rPr>
          <w:lang w:val="lv-LV"/>
        </w:rPr>
        <w:t xml:space="preserve">.   </w:t>
      </w:r>
    </w:p>
    <w:p w:rsidR="00B70B9E" w:rsidRDefault="00B70B9E" w:rsidP="00B70B9E">
      <w:pPr>
        <w:pStyle w:val="NormalWeb"/>
        <w:spacing w:before="0" w:beforeAutospacing="0" w:after="0" w:afterAutospacing="0"/>
        <w:jc w:val="both"/>
        <w:rPr>
          <w:lang w:val="lv-LV"/>
        </w:rPr>
      </w:pPr>
    </w:p>
    <w:p w:rsidR="00B26067" w:rsidRPr="00B26067" w:rsidRDefault="000D3C29" w:rsidP="00B26067">
      <w:pPr>
        <w:pStyle w:val="NormalWeb"/>
        <w:numPr>
          <w:ilvl w:val="0"/>
          <w:numId w:val="23"/>
        </w:numPr>
        <w:spacing w:after="0" w:afterAutospacing="0"/>
        <w:ind w:left="284" w:hanging="284"/>
        <w:jc w:val="both"/>
        <w:rPr>
          <w:lang w:val="lv-LV"/>
        </w:rPr>
      </w:pPr>
      <w:r w:rsidRPr="00B75E92">
        <w:rPr>
          <w:lang w:val="lv-LV"/>
        </w:rPr>
        <w:t>D</w:t>
      </w:r>
      <w:r>
        <w:rPr>
          <w:lang w:val="lv-LV"/>
        </w:rPr>
        <w:t>IENESTS</w:t>
      </w:r>
      <w:r w:rsidRPr="00B75E92">
        <w:rPr>
          <w:lang w:val="lv-LV"/>
        </w:rPr>
        <w:t xml:space="preserve"> </w:t>
      </w:r>
      <w:r w:rsidR="00B26067">
        <w:rPr>
          <w:lang w:val="lv-LV"/>
        </w:rPr>
        <w:t>par šī dokumenta 3.1</w:t>
      </w:r>
      <w:r>
        <w:rPr>
          <w:lang w:val="lv-LV"/>
        </w:rPr>
        <w:t xml:space="preserve">.apakšpunktā noteiktiem pakalpojumiem </w:t>
      </w:r>
      <w:r w:rsidR="00BD166B" w:rsidRPr="00B75E92">
        <w:rPr>
          <w:lang w:val="lv-LV"/>
        </w:rPr>
        <w:t>Kompensācijas maksājum</w:t>
      </w:r>
      <w:r>
        <w:rPr>
          <w:lang w:val="lv-LV"/>
        </w:rPr>
        <w:t xml:space="preserve">u IZIPILDĪTAJAM </w:t>
      </w:r>
      <w:r w:rsidR="00BD166B" w:rsidRPr="00B75E92">
        <w:rPr>
          <w:lang w:val="lv-LV"/>
        </w:rPr>
        <w:t xml:space="preserve"> aprēķin</w:t>
      </w:r>
      <w:r>
        <w:rPr>
          <w:lang w:val="lv-LV"/>
        </w:rPr>
        <w:t>a</w:t>
      </w:r>
      <w:r w:rsidR="00BD166B" w:rsidRPr="00B75E92">
        <w:rPr>
          <w:lang w:val="lv-LV"/>
        </w:rPr>
        <w:t xml:space="preserve"> šā</w:t>
      </w:r>
      <w:r>
        <w:rPr>
          <w:lang w:val="lv-LV"/>
        </w:rPr>
        <w:t>dā</w:t>
      </w:r>
      <w:r w:rsidR="00BD166B" w:rsidRPr="00B75E92">
        <w:rPr>
          <w:lang w:val="lv-LV"/>
        </w:rPr>
        <w:t xml:space="preserve"> kartībā:</w:t>
      </w:r>
    </w:p>
    <w:p w:rsidR="00BD166B" w:rsidRDefault="00BD166B" w:rsidP="00CC1572">
      <w:pPr>
        <w:pStyle w:val="NormalWeb"/>
        <w:numPr>
          <w:ilvl w:val="1"/>
          <w:numId w:val="23"/>
        </w:numPr>
        <w:spacing w:before="0" w:beforeAutospacing="0" w:after="0" w:afterAutospacing="0"/>
        <w:ind w:left="709" w:hanging="425"/>
        <w:jc w:val="both"/>
        <w:rPr>
          <w:lang w:val="lv-LV"/>
        </w:rPr>
      </w:pPr>
      <w:r w:rsidRPr="00CC1572">
        <w:rPr>
          <w:lang w:val="lv-LV"/>
        </w:rPr>
        <w:t>no</w:t>
      </w:r>
      <w:r w:rsidR="00CC1572" w:rsidRPr="00CC1572">
        <w:rPr>
          <w:lang w:val="lv-LV"/>
        </w:rPr>
        <w:t>saka</w:t>
      </w:r>
      <w:r w:rsidRPr="00CC1572">
        <w:rPr>
          <w:lang w:val="lv-LV"/>
        </w:rPr>
        <w:t xml:space="preserve"> nesniegto pakalpojumu apjom</w:t>
      </w:r>
      <w:r w:rsidR="00CC1572" w:rsidRPr="00CC1572">
        <w:rPr>
          <w:lang w:val="lv-LV"/>
        </w:rPr>
        <w:t>u</w:t>
      </w:r>
      <w:r w:rsidR="00CC1572">
        <w:rPr>
          <w:lang w:val="lv-LV"/>
        </w:rPr>
        <w:t xml:space="preserve"> attiecīgajam mēnesim</w:t>
      </w:r>
      <w:r w:rsidRPr="00CC1572">
        <w:rPr>
          <w:lang w:val="lv-LV"/>
        </w:rPr>
        <w:t xml:space="preserve">, </w:t>
      </w:r>
      <w:r w:rsidR="00CC1572" w:rsidRPr="00CC1572">
        <w:rPr>
          <w:lang w:val="lv-LV"/>
        </w:rPr>
        <w:t xml:space="preserve">ņemot vērā </w:t>
      </w:r>
      <w:r w:rsidRPr="00CC1572">
        <w:rPr>
          <w:lang w:val="lv-LV"/>
        </w:rPr>
        <w:t>janvāra un februāra mēneš</w:t>
      </w:r>
      <w:r w:rsidR="00CC1572" w:rsidRPr="00CC1572">
        <w:rPr>
          <w:lang w:val="lv-LV"/>
        </w:rPr>
        <w:t>os</w:t>
      </w:r>
      <w:r w:rsidR="00467A22" w:rsidRPr="00CC1572">
        <w:rPr>
          <w:lang w:val="lv-LV"/>
        </w:rPr>
        <w:t xml:space="preserve"> (dati Vadības informācijas sistēmā uz 09.04.2020.)</w:t>
      </w:r>
      <w:r w:rsidR="00CC1572">
        <w:rPr>
          <w:lang w:val="lv-LV"/>
        </w:rPr>
        <w:t xml:space="preserve"> sniegto</w:t>
      </w:r>
      <w:r w:rsidR="00CC1572" w:rsidRPr="00CC1572">
        <w:rPr>
          <w:lang w:val="lv-LV"/>
        </w:rPr>
        <w:t xml:space="preserve"> </w:t>
      </w:r>
      <w:r w:rsidR="00CC1572">
        <w:rPr>
          <w:lang w:val="lv-LV"/>
        </w:rPr>
        <w:t xml:space="preserve">pakalpojuma </w:t>
      </w:r>
      <w:r w:rsidR="00CC1572" w:rsidRPr="00CC1572">
        <w:rPr>
          <w:lang w:val="lv-LV"/>
        </w:rPr>
        <w:t>apjom</w:t>
      </w:r>
      <w:r w:rsidR="00CC1572">
        <w:rPr>
          <w:lang w:val="lv-LV"/>
        </w:rPr>
        <w:t>u, kas sadalīts ar divi, un</w:t>
      </w:r>
      <w:r w:rsidR="00CC1572" w:rsidRPr="00CC1572">
        <w:rPr>
          <w:lang w:val="lv-LV"/>
        </w:rPr>
        <w:t xml:space="preserve"> no </w:t>
      </w:r>
      <w:r w:rsidR="0073426E">
        <w:rPr>
          <w:lang w:val="lv-LV"/>
        </w:rPr>
        <w:t>iegūtā apjoma</w:t>
      </w:r>
      <w:r w:rsidR="00CC1572" w:rsidRPr="00CC1572">
        <w:rPr>
          <w:lang w:val="lv-LV"/>
        </w:rPr>
        <w:t xml:space="preserve"> atņemot </w:t>
      </w:r>
      <w:r w:rsidR="00CC1572">
        <w:rPr>
          <w:lang w:val="lv-LV"/>
        </w:rPr>
        <w:t xml:space="preserve">attiecīgajā mēnesī faktiski sniegto pakalpojumu </w:t>
      </w:r>
      <w:r w:rsidRPr="00CC1572">
        <w:rPr>
          <w:lang w:val="lv-LV"/>
        </w:rPr>
        <w:t>apjom</w:t>
      </w:r>
      <w:r w:rsidR="00CC1572">
        <w:rPr>
          <w:lang w:val="lv-LV"/>
        </w:rPr>
        <w:t>u</w:t>
      </w:r>
      <w:r w:rsidRPr="00CC1572">
        <w:rPr>
          <w:lang w:val="lv-LV"/>
        </w:rPr>
        <w:t>;</w:t>
      </w:r>
    </w:p>
    <w:p w:rsidR="00CC1572" w:rsidRDefault="00BD166B" w:rsidP="00B26067">
      <w:pPr>
        <w:pStyle w:val="NormalWeb"/>
        <w:numPr>
          <w:ilvl w:val="1"/>
          <w:numId w:val="23"/>
        </w:numPr>
        <w:spacing w:before="0" w:beforeAutospacing="0" w:after="0" w:afterAutospacing="0"/>
        <w:ind w:left="709" w:hanging="425"/>
        <w:jc w:val="both"/>
        <w:rPr>
          <w:lang w:val="lv-LV"/>
        </w:rPr>
      </w:pPr>
      <w:r w:rsidRPr="00B26067">
        <w:rPr>
          <w:lang w:val="lv-LV"/>
        </w:rPr>
        <w:t>aprēķin</w:t>
      </w:r>
      <w:r w:rsidR="0073426E" w:rsidRPr="00B26067">
        <w:rPr>
          <w:lang w:val="lv-LV"/>
        </w:rPr>
        <w:t>a</w:t>
      </w:r>
      <w:r w:rsidRPr="00B26067">
        <w:rPr>
          <w:lang w:val="lv-LV"/>
        </w:rPr>
        <w:t xml:space="preserve"> tarifu kompensējamo elementu koeficients (</w:t>
      </w:r>
      <w:r w:rsidR="00E93FA6" w:rsidRPr="00B26067">
        <w:rPr>
          <w:szCs w:val="28"/>
          <w:lang w:val="lv-LV"/>
        </w:rPr>
        <w:t>pakalpojuma tarifa darba samaksas (D), valsts sociālās apdrošināšanas obligātās iemaksu (S), pieskaitāmo un netiešo ražošanas izmaksu (U) un administratīvo izdevumu (A</w:t>
      </w:r>
      <w:r w:rsidR="009505B1" w:rsidRPr="00B26067">
        <w:rPr>
          <w:szCs w:val="28"/>
          <w:lang w:val="lv-LV"/>
        </w:rPr>
        <w:t>)</w:t>
      </w:r>
      <w:r w:rsidR="00E93FA6" w:rsidRPr="00B26067">
        <w:rPr>
          <w:szCs w:val="28"/>
          <w:lang w:val="lv-LV"/>
        </w:rPr>
        <w:t>)</w:t>
      </w:r>
      <w:r w:rsidRPr="00B26067">
        <w:rPr>
          <w:lang w:val="lv-LV"/>
        </w:rPr>
        <w:t xml:space="preserve"> no </w:t>
      </w:r>
      <w:r w:rsidR="0073426E" w:rsidRPr="00B26067">
        <w:rPr>
          <w:lang w:val="lv-LV"/>
        </w:rPr>
        <w:t xml:space="preserve">IZPILDĪTĀJA </w:t>
      </w:r>
      <w:r w:rsidRPr="00B26067">
        <w:rPr>
          <w:lang w:val="lv-LV"/>
        </w:rPr>
        <w:t>faktiski sniegtā pakalpojumu apjoma kalendārā gada  janvāra un februāra mēnešos</w:t>
      </w:r>
      <w:r w:rsidR="00467A22" w:rsidRPr="00B26067">
        <w:rPr>
          <w:lang w:val="lv-LV"/>
        </w:rPr>
        <w:t xml:space="preserve"> (dati Vadības informācijas sistēmā uz 09.04.2020.)</w:t>
      </w:r>
      <w:r w:rsidRPr="00B26067">
        <w:rPr>
          <w:lang w:val="lv-LV"/>
        </w:rPr>
        <w:t>;</w:t>
      </w:r>
    </w:p>
    <w:p w:rsidR="00BD166B" w:rsidRPr="00B26067" w:rsidRDefault="0073426E" w:rsidP="00B26067">
      <w:pPr>
        <w:pStyle w:val="NormalWeb"/>
        <w:numPr>
          <w:ilvl w:val="1"/>
          <w:numId w:val="23"/>
        </w:numPr>
        <w:spacing w:before="0" w:beforeAutospacing="0" w:after="0" w:afterAutospacing="0"/>
        <w:ind w:left="709" w:hanging="425"/>
        <w:jc w:val="both"/>
        <w:rPr>
          <w:lang w:val="lv-LV"/>
        </w:rPr>
      </w:pPr>
      <w:r w:rsidRPr="00B26067">
        <w:rPr>
          <w:lang w:val="lv-LV"/>
        </w:rPr>
        <w:t>Kompensācijas maksājuma apjomu IZPILDĪTĀJAM</w:t>
      </w:r>
      <w:r w:rsidR="00B26067">
        <w:rPr>
          <w:lang w:val="lv-LV"/>
        </w:rPr>
        <w:t xml:space="preserve"> nosaka, reizinot šī dokumenta 4</w:t>
      </w:r>
      <w:r w:rsidRPr="00B26067">
        <w:rPr>
          <w:lang w:val="lv-LV"/>
        </w:rPr>
        <w:t xml:space="preserve">.1.apakšpunktā noteiktajā kārtībā aprēķināto nesniegto pakalpojumu apjomu ar šī dokumenta </w:t>
      </w:r>
      <w:r w:rsidR="00B26067">
        <w:rPr>
          <w:lang w:val="lv-LV"/>
        </w:rPr>
        <w:t>4</w:t>
      </w:r>
      <w:r w:rsidRPr="00B26067">
        <w:rPr>
          <w:lang w:val="lv-LV"/>
        </w:rPr>
        <w:t>.2.apakšpunktā noteiktajā kārtībā aprēķināto tarifu kompensējamo elementu koeficientu</w:t>
      </w:r>
      <w:r w:rsidR="00BD166B" w:rsidRPr="00B26067">
        <w:rPr>
          <w:lang w:val="lv-LV"/>
        </w:rPr>
        <w:t>.</w:t>
      </w:r>
    </w:p>
    <w:p w:rsidR="00BD166B" w:rsidRPr="00B75E92" w:rsidRDefault="00BD166B" w:rsidP="00CC1572">
      <w:pPr>
        <w:pStyle w:val="NormalWeb"/>
        <w:spacing w:before="0" w:beforeAutospacing="0" w:after="0" w:afterAutospacing="0"/>
        <w:ind w:left="709" w:hanging="425"/>
        <w:jc w:val="both"/>
        <w:rPr>
          <w:lang w:val="lv-LV"/>
        </w:rPr>
      </w:pPr>
      <w:r w:rsidRPr="00B75E92">
        <w:rPr>
          <w:lang w:val="lv-LV"/>
        </w:rPr>
        <w:t> </w:t>
      </w:r>
    </w:p>
    <w:p w:rsidR="00BD166B" w:rsidRPr="00B75E92" w:rsidRDefault="000156F3" w:rsidP="00CC1572">
      <w:pPr>
        <w:pStyle w:val="NormalWeb"/>
        <w:numPr>
          <w:ilvl w:val="0"/>
          <w:numId w:val="28"/>
        </w:numPr>
        <w:spacing w:before="0" w:beforeAutospacing="0" w:after="0" w:afterAutospacing="0"/>
        <w:ind w:left="284" w:hanging="284"/>
        <w:jc w:val="both"/>
        <w:rPr>
          <w:lang w:val="lv-LV"/>
        </w:rPr>
      </w:pPr>
      <w:r>
        <w:rPr>
          <w:lang w:val="lv-LV"/>
        </w:rPr>
        <w:t>Kompensācijas maksājuma</w:t>
      </w:r>
      <w:r w:rsidR="00BD166B" w:rsidRPr="00B75E92">
        <w:rPr>
          <w:lang w:val="lv-LV"/>
        </w:rPr>
        <w:t> apjoms netiek aprēķināts par pacienta līdzmaksājumiem.</w:t>
      </w:r>
    </w:p>
    <w:p w:rsidR="00E93FA6" w:rsidRPr="00B75E92" w:rsidRDefault="00E93FA6" w:rsidP="000D3C29">
      <w:pPr>
        <w:pStyle w:val="NormalWeb"/>
        <w:spacing w:before="0" w:beforeAutospacing="0" w:after="0" w:afterAutospacing="0"/>
        <w:ind w:left="284" w:hanging="284"/>
        <w:jc w:val="both"/>
        <w:rPr>
          <w:lang w:val="lv-LV"/>
        </w:rPr>
      </w:pPr>
    </w:p>
    <w:p w:rsidR="00F343CE" w:rsidRDefault="00F343CE" w:rsidP="00F343CE">
      <w:pPr>
        <w:pStyle w:val="NormalWeb"/>
        <w:numPr>
          <w:ilvl w:val="0"/>
          <w:numId w:val="28"/>
        </w:numPr>
        <w:spacing w:before="0" w:beforeAutospacing="0" w:after="0" w:afterAutospacing="0"/>
        <w:jc w:val="both"/>
        <w:rPr>
          <w:lang w:val="lv-LV"/>
        </w:rPr>
      </w:pPr>
      <w:r>
        <w:rPr>
          <w:lang w:val="lv-LV"/>
        </w:rPr>
        <w:t>IZPILDĪTĀJS ir tiesīgs, no K</w:t>
      </w:r>
      <w:r w:rsidRPr="00A9620B">
        <w:rPr>
          <w:lang w:val="lv-LV"/>
        </w:rPr>
        <w:t xml:space="preserve">ompensācijas maksājuma veikt maksājumus tikai darba samaksai, valsts sociālās apdrošināšanas obligāto iemaksu, pieskaitāmo un netiešo ražošanas izmaksu un administratīvo izmaksu segšanai (ar pacientu uzturēšanu saistītie izdevumi pakalpojumu apmaksai, riska maksājuma veikšanai, materiālu, energoresursu, ūdens un inventāra iegādei). IZPILDĪTĀJS nav tiesīgs no kompensācijas maksājuma gatavības režīma nodrošināšanai gūt peļņu, kā arī ievērot Eiropas Savienības komercdarbības atbalsta politikas pamatprincipus, kas ir noteikti Līguma par Eiropas Savienības darbību 107. un 108.pantā un DIENESTAM </w:t>
      </w:r>
      <w:r>
        <w:rPr>
          <w:lang w:val="lv-LV"/>
        </w:rPr>
        <w:t>ir tiesības kontrolēt piešķirtā K</w:t>
      </w:r>
      <w:r w:rsidRPr="00A9620B">
        <w:rPr>
          <w:lang w:val="lv-LV"/>
        </w:rPr>
        <w:t>ompensācijas maksājuma izlietojumu un atbilstību tā mērķim.</w:t>
      </w:r>
      <w:r>
        <w:rPr>
          <w:lang w:val="lv-LV"/>
        </w:rPr>
        <w:t xml:space="preserve">  Ja no K</w:t>
      </w:r>
      <w:r w:rsidRPr="00A9620B">
        <w:rPr>
          <w:lang w:val="lv-LV"/>
        </w:rPr>
        <w:t>ompensācijas maksājuma  tiek segtas darba samaksas izmaksas, tad darbiniekam var kompensēt atlīdzību līdz 75 procentiem no iepriekšējo sešu mēnešu vidējās atlīdzības apmēra, bet ne vairāk kā trīskāršā Centrālās statistikas pārvaldes oficiālajā statistikas paziņojumā publicēto valstī strādājošo iepriekšējā gada mēneša vidējās darba samaksas apmērā.</w:t>
      </w:r>
    </w:p>
    <w:p w:rsidR="00233A2A" w:rsidRDefault="00233A2A" w:rsidP="00233A2A">
      <w:pPr>
        <w:pStyle w:val="ListParagraph"/>
      </w:pPr>
    </w:p>
    <w:p w:rsidR="00233A2A" w:rsidRDefault="00233A2A" w:rsidP="00F343CE">
      <w:pPr>
        <w:pStyle w:val="NormalWeb"/>
        <w:numPr>
          <w:ilvl w:val="0"/>
          <w:numId w:val="28"/>
        </w:numPr>
        <w:spacing w:before="0" w:beforeAutospacing="0" w:after="0" w:afterAutospacing="0"/>
        <w:jc w:val="both"/>
        <w:rPr>
          <w:lang w:val="lv-LV"/>
        </w:rPr>
      </w:pPr>
      <w:r>
        <w:rPr>
          <w:color w:val="000000"/>
        </w:rPr>
        <w:t>Ja IZPILDĪTĀJS no kompensācijas maksājuma gatavības režīma nodrošināšanai sedz darba samaksas izmaksas, tad darbiniekam var kompensēt atlīdzību</w:t>
      </w:r>
      <w:r>
        <w:rPr>
          <w:rFonts w:ascii="Calibri" w:hAnsi="Calibri" w:cs="Calibri"/>
          <w:color w:val="000000"/>
          <w:sz w:val="22"/>
          <w:szCs w:val="22"/>
        </w:rPr>
        <w:t> </w:t>
      </w:r>
      <w:r>
        <w:rPr>
          <w:color w:val="000000"/>
        </w:rPr>
        <w:t>līdz 75 procentiem no iepriekšējo sešu mēnešu vidējās atlīdzības apmēra, bet ne vairāk kā trīskāršā Centrālās statistikas pārvaldes oficiālajā statistikas paziņojumā publicēto valstī strādājošo iepriekšējā gada mēneša vidējās darba samaksas apmērā.</w:t>
      </w:r>
      <w:bookmarkStart w:id="0" w:name="_GoBack"/>
      <w:bookmarkEnd w:id="0"/>
    </w:p>
    <w:p w:rsidR="00467A22" w:rsidRDefault="00467A22" w:rsidP="000D3C29">
      <w:pPr>
        <w:pStyle w:val="NormalWeb"/>
        <w:spacing w:before="0" w:beforeAutospacing="0" w:after="0" w:afterAutospacing="0"/>
        <w:ind w:left="284" w:hanging="284"/>
        <w:jc w:val="both"/>
        <w:rPr>
          <w:lang w:val="lv-LV"/>
        </w:rPr>
      </w:pPr>
    </w:p>
    <w:p w:rsidR="00467A22" w:rsidRDefault="00467A22" w:rsidP="00CC1572">
      <w:pPr>
        <w:pStyle w:val="NormalWeb"/>
        <w:numPr>
          <w:ilvl w:val="0"/>
          <w:numId w:val="28"/>
        </w:numPr>
        <w:spacing w:before="0" w:beforeAutospacing="0" w:after="0" w:afterAutospacing="0"/>
        <w:ind w:left="284" w:hanging="284"/>
        <w:jc w:val="both"/>
        <w:rPr>
          <w:lang w:val="lv-LV"/>
        </w:rPr>
      </w:pPr>
      <w:r>
        <w:rPr>
          <w:lang w:val="lv-LV"/>
        </w:rPr>
        <w:t>Aprēķinātais koeficients k</w:t>
      </w:r>
      <w:r w:rsidR="00F343CE">
        <w:rPr>
          <w:lang w:val="lv-LV"/>
        </w:rPr>
        <w:t>atrā pakalpojumu veidā (</w:t>
      </w:r>
      <w:r>
        <w:rPr>
          <w:lang w:val="lv-LV"/>
        </w:rPr>
        <w:t>APSV) tiks norādīts finanšu paziņojumā</w:t>
      </w:r>
      <w:r w:rsidR="000D3C29">
        <w:rPr>
          <w:lang w:val="lv-LV"/>
        </w:rPr>
        <w:t>, ko DIENESTS nosūta IZPILDĪTĀJAM līdz 2020.gada _._____</w:t>
      </w:r>
      <w:r>
        <w:rPr>
          <w:lang w:val="lv-LV"/>
        </w:rPr>
        <w:t xml:space="preserve">. </w:t>
      </w:r>
    </w:p>
    <w:p w:rsidR="00467A22" w:rsidRDefault="00467A22" w:rsidP="000D3C29">
      <w:pPr>
        <w:pStyle w:val="NormalWeb"/>
        <w:spacing w:before="0" w:beforeAutospacing="0" w:after="0" w:afterAutospacing="0"/>
        <w:ind w:left="284" w:hanging="284"/>
        <w:jc w:val="both"/>
        <w:rPr>
          <w:lang w:val="lv-LV"/>
        </w:rPr>
      </w:pPr>
    </w:p>
    <w:p w:rsidR="00467A22" w:rsidRPr="00B75E92" w:rsidRDefault="00467A22" w:rsidP="007531FE">
      <w:pPr>
        <w:pStyle w:val="NormalWeb"/>
        <w:numPr>
          <w:ilvl w:val="0"/>
          <w:numId w:val="28"/>
        </w:numPr>
        <w:spacing w:before="0" w:beforeAutospacing="0" w:after="0" w:afterAutospacing="0"/>
        <w:ind w:left="426" w:hanging="426"/>
        <w:jc w:val="both"/>
        <w:rPr>
          <w:lang w:val="lv-LV"/>
        </w:rPr>
      </w:pPr>
      <w:r>
        <w:rPr>
          <w:lang w:val="lv-LV"/>
        </w:rPr>
        <w:t xml:space="preserve">IZPILDĪTĀJAM būs jāiesniedz DIENESTAM atskaites par Kompensācijas maksājuma izlietojumu, par ko DIENESTS informēs vēlāk. </w:t>
      </w:r>
    </w:p>
    <w:p w:rsidR="00BD166B" w:rsidRPr="009505B1" w:rsidRDefault="00BD166B" w:rsidP="00454913">
      <w:pPr>
        <w:pStyle w:val="ListParagraph"/>
        <w:ind w:left="360"/>
        <w:jc w:val="both"/>
        <w:rPr>
          <w:rFonts w:ascii="Times New Roman" w:hAnsi="Times New Roman" w:cs="Times New Roman"/>
          <w:sz w:val="24"/>
          <w:szCs w:val="24"/>
          <w:lang w:val="en-US"/>
        </w:rPr>
      </w:pPr>
    </w:p>
    <w:p w:rsidR="00137B5B" w:rsidRPr="009505B1" w:rsidRDefault="00137B5B" w:rsidP="005A3BAD">
      <w:pPr>
        <w:jc w:val="both"/>
        <w:rPr>
          <w:rFonts w:ascii="Times New Roman" w:hAnsi="Times New Roman" w:cs="Times New Roman"/>
          <w:sz w:val="24"/>
          <w:szCs w:val="24"/>
        </w:rPr>
      </w:pPr>
    </w:p>
    <w:sectPr w:rsidR="00137B5B" w:rsidRPr="009505B1" w:rsidSect="00454913">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834" w:rsidRDefault="00E67834" w:rsidP="00CA5301">
      <w:pPr>
        <w:spacing w:after="0" w:line="240" w:lineRule="auto"/>
      </w:pPr>
      <w:r>
        <w:separator/>
      </w:r>
    </w:p>
  </w:endnote>
  <w:endnote w:type="continuationSeparator" w:id="0">
    <w:p w:rsidR="00E67834" w:rsidRDefault="00E67834" w:rsidP="00CA5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881893135"/>
      <w:docPartObj>
        <w:docPartGallery w:val="Page Numbers (Bottom of Page)"/>
        <w:docPartUnique/>
      </w:docPartObj>
    </w:sdtPr>
    <w:sdtEndPr>
      <w:rPr>
        <w:noProof/>
      </w:rPr>
    </w:sdtEndPr>
    <w:sdtContent>
      <w:p w:rsidR="000A0A73" w:rsidRPr="00694376" w:rsidRDefault="009D5D14">
        <w:pPr>
          <w:pStyle w:val="Footer"/>
          <w:jc w:val="center"/>
          <w:rPr>
            <w:rFonts w:ascii="Times New Roman" w:hAnsi="Times New Roman" w:cs="Times New Roman"/>
          </w:rPr>
        </w:pPr>
        <w:r w:rsidRPr="00694376">
          <w:rPr>
            <w:rFonts w:ascii="Times New Roman" w:hAnsi="Times New Roman" w:cs="Times New Roman"/>
          </w:rPr>
          <w:fldChar w:fldCharType="begin"/>
        </w:r>
        <w:r w:rsidR="000A0A73" w:rsidRPr="00694376">
          <w:rPr>
            <w:rFonts w:ascii="Times New Roman" w:hAnsi="Times New Roman" w:cs="Times New Roman"/>
          </w:rPr>
          <w:instrText xml:space="preserve"> PAGE   \* MERGEFORMAT </w:instrText>
        </w:r>
        <w:r w:rsidRPr="00694376">
          <w:rPr>
            <w:rFonts w:ascii="Times New Roman" w:hAnsi="Times New Roman" w:cs="Times New Roman"/>
          </w:rPr>
          <w:fldChar w:fldCharType="separate"/>
        </w:r>
        <w:r w:rsidR="00233A2A">
          <w:rPr>
            <w:rFonts w:ascii="Times New Roman" w:hAnsi="Times New Roman" w:cs="Times New Roman"/>
            <w:noProof/>
          </w:rPr>
          <w:t>2</w:t>
        </w:r>
        <w:r w:rsidRPr="00694376">
          <w:rPr>
            <w:rFonts w:ascii="Times New Roman" w:hAnsi="Times New Roman" w:cs="Times New Roman"/>
            <w:noProof/>
          </w:rPr>
          <w:fldChar w:fldCharType="end"/>
        </w:r>
      </w:p>
    </w:sdtContent>
  </w:sdt>
  <w:p w:rsidR="000A0A73" w:rsidRPr="00694376" w:rsidRDefault="000A0A73">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834" w:rsidRDefault="00E67834" w:rsidP="00CA5301">
      <w:pPr>
        <w:spacing w:after="0" w:line="240" w:lineRule="auto"/>
      </w:pPr>
      <w:r>
        <w:separator/>
      </w:r>
    </w:p>
  </w:footnote>
  <w:footnote w:type="continuationSeparator" w:id="0">
    <w:p w:rsidR="00E67834" w:rsidRDefault="00E67834" w:rsidP="00CA53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3F92"/>
    <w:multiLevelType w:val="hybridMultilevel"/>
    <w:tmpl w:val="300489A6"/>
    <w:lvl w:ilvl="0" w:tplc="26BEC452">
      <w:numFmt w:val="bullet"/>
      <w:lvlText w:val="-"/>
      <w:lvlJc w:val="left"/>
      <w:pPr>
        <w:ind w:left="720" w:hanging="360"/>
      </w:pPr>
      <w:rPr>
        <w:rFonts w:ascii="Calibri" w:eastAsia="Calibri" w:hAnsi="Calibri"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8E274C2"/>
    <w:multiLevelType w:val="multilevel"/>
    <w:tmpl w:val="2306E3D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554421"/>
    <w:multiLevelType w:val="multilevel"/>
    <w:tmpl w:val="5C885B80"/>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D774F0D"/>
    <w:multiLevelType w:val="hybridMultilevel"/>
    <w:tmpl w:val="D9F2D6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ED5CFB"/>
    <w:multiLevelType w:val="multilevel"/>
    <w:tmpl w:val="DEDE6E7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7560D0"/>
    <w:multiLevelType w:val="multilevel"/>
    <w:tmpl w:val="570284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26D226F"/>
    <w:multiLevelType w:val="multilevel"/>
    <w:tmpl w:val="7BFA9F3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CF463FA"/>
    <w:multiLevelType w:val="multilevel"/>
    <w:tmpl w:val="18B2BF0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0546564"/>
    <w:multiLevelType w:val="multilevel"/>
    <w:tmpl w:val="2A2884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93750F"/>
    <w:multiLevelType w:val="multilevel"/>
    <w:tmpl w:val="6E9858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6C33DE1"/>
    <w:multiLevelType w:val="hybridMultilevel"/>
    <w:tmpl w:val="070A8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03063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F72454"/>
    <w:multiLevelType w:val="hybridMultilevel"/>
    <w:tmpl w:val="CE6E0C44"/>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3" w15:restartNumberingAfterBreak="0">
    <w:nsid w:val="2E1758AA"/>
    <w:multiLevelType w:val="hybridMultilevel"/>
    <w:tmpl w:val="AF725CB2"/>
    <w:lvl w:ilvl="0" w:tplc="658ADB4E">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4" w15:restartNumberingAfterBreak="0">
    <w:nsid w:val="41DC5D45"/>
    <w:multiLevelType w:val="multilevel"/>
    <w:tmpl w:val="6F30EF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30302A3"/>
    <w:multiLevelType w:val="multilevel"/>
    <w:tmpl w:val="98B6295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522EB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B35002"/>
    <w:multiLevelType w:val="multilevel"/>
    <w:tmpl w:val="5A84D468"/>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1E57BFE"/>
    <w:multiLevelType w:val="multilevel"/>
    <w:tmpl w:val="6F30EF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3A07B6A"/>
    <w:multiLevelType w:val="multilevel"/>
    <w:tmpl w:val="4C583670"/>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653975A4"/>
    <w:multiLevelType w:val="multilevel"/>
    <w:tmpl w:val="14AC8E4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5F658E2"/>
    <w:multiLevelType w:val="multilevel"/>
    <w:tmpl w:val="0426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2" w15:restartNumberingAfterBreak="0">
    <w:nsid w:val="6A632FB7"/>
    <w:multiLevelType w:val="multilevel"/>
    <w:tmpl w:val="7C821E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D2B4982"/>
    <w:multiLevelType w:val="multilevel"/>
    <w:tmpl w:val="6F30EF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4010BFB"/>
    <w:multiLevelType w:val="multilevel"/>
    <w:tmpl w:val="0426001F"/>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76E343A4"/>
    <w:multiLevelType w:val="multilevel"/>
    <w:tmpl w:val="572CA9D2"/>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79ED3B49"/>
    <w:multiLevelType w:val="multilevel"/>
    <w:tmpl w:val="6F30EF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1"/>
  </w:num>
  <w:num w:numId="3">
    <w:abstractNumId w:val="16"/>
  </w:num>
  <w:num w:numId="4">
    <w:abstractNumId w:val="19"/>
  </w:num>
  <w:num w:numId="5">
    <w:abstractNumId w:val="13"/>
  </w:num>
  <w:num w:numId="6">
    <w:abstractNumId w:val="0"/>
  </w:num>
  <w:num w:numId="7">
    <w:abstractNumId w:val="0"/>
  </w:num>
  <w:num w:numId="8">
    <w:abstractNumId w:val="21"/>
  </w:num>
  <w:num w:numId="9">
    <w:abstractNumId w:val="24"/>
  </w:num>
  <w:num w:numId="10">
    <w:abstractNumId w:val="25"/>
  </w:num>
  <w:num w:numId="11">
    <w:abstractNumId w:val="5"/>
  </w:num>
  <w:num w:numId="12">
    <w:abstractNumId w:val="20"/>
  </w:num>
  <w:num w:numId="13">
    <w:abstractNumId w:val="15"/>
  </w:num>
  <w:num w:numId="14">
    <w:abstractNumId w:val="1"/>
  </w:num>
  <w:num w:numId="15">
    <w:abstractNumId w:val="2"/>
  </w:num>
  <w:num w:numId="16">
    <w:abstractNumId w:val="9"/>
  </w:num>
  <w:num w:numId="17">
    <w:abstractNumId w:val="7"/>
  </w:num>
  <w:num w:numId="18">
    <w:abstractNumId w:val="6"/>
  </w:num>
  <w:num w:numId="19">
    <w:abstractNumId w:val="12"/>
  </w:num>
  <w:num w:numId="20">
    <w:abstractNumId w:val="8"/>
  </w:num>
  <w:num w:numId="21">
    <w:abstractNumId w:val="3"/>
  </w:num>
  <w:num w:numId="22">
    <w:abstractNumId w:val="22"/>
  </w:num>
  <w:num w:numId="23">
    <w:abstractNumId w:val="18"/>
  </w:num>
  <w:num w:numId="24">
    <w:abstractNumId w:val="10"/>
  </w:num>
  <w:num w:numId="25">
    <w:abstractNumId w:val="14"/>
  </w:num>
  <w:num w:numId="26">
    <w:abstractNumId w:val="26"/>
  </w:num>
  <w:num w:numId="27">
    <w:abstractNumId w:val="2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E2F"/>
    <w:rsid w:val="000120EB"/>
    <w:rsid w:val="000156F3"/>
    <w:rsid w:val="00065D6F"/>
    <w:rsid w:val="000A0A73"/>
    <w:rsid w:val="000D07B2"/>
    <w:rsid w:val="000D3C29"/>
    <w:rsid w:val="000F2E2F"/>
    <w:rsid w:val="00102746"/>
    <w:rsid w:val="00137B5B"/>
    <w:rsid w:val="001430BA"/>
    <w:rsid w:val="001800D6"/>
    <w:rsid w:val="00193A7D"/>
    <w:rsid w:val="001B73A8"/>
    <w:rsid w:val="001C52E1"/>
    <w:rsid w:val="001D09D6"/>
    <w:rsid w:val="001D7A48"/>
    <w:rsid w:val="001E5F61"/>
    <w:rsid w:val="0020368E"/>
    <w:rsid w:val="00224C60"/>
    <w:rsid w:val="00233A2A"/>
    <w:rsid w:val="00235E12"/>
    <w:rsid w:val="002577D2"/>
    <w:rsid w:val="00262300"/>
    <w:rsid w:val="002A6EB0"/>
    <w:rsid w:val="002C4E05"/>
    <w:rsid w:val="003131EF"/>
    <w:rsid w:val="00330E48"/>
    <w:rsid w:val="00347257"/>
    <w:rsid w:val="00351CDB"/>
    <w:rsid w:val="003533AC"/>
    <w:rsid w:val="003F3B99"/>
    <w:rsid w:val="003F5A63"/>
    <w:rsid w:val="003F6E02"/>
    <w:rsid w:val="0042161F"/>
    <w:rsid w:val="00454913"/>
    <w:rsid w:val="004639A3"/>
    <w:rsid w:val="00465967"/>
    <w:rsid w:val="00467A22"/>
    <w:rsid w:val="004820AE"/>
    <w:rsid w:val="00484FB6"/>
    <w:rsid w:val="0049131D"/>
    <w:rsid w:val="004C4AC7"/>
    <w:rsid w:val="00515137"/>
    <w:rsid w:val="00523A29"/>
    <w:rsid w:val="00542C63"/>
    <w:rsid w:val="00565A03"/>
    <w:rsid w:val="005A20C7"/>
    <w:rsid w:val="005A3BAD"/>
    <w:rsid w:val="005A7FEA"/>
    <w:rsid w:val="005B5D3C"/>
    <w:rsid w:val="005B6D4E"/>
    <w:rsid w:val="005F01AD"/>
    <w:rsid w:val="005F3FDF"/>
    <w:rsid w:val="006838E1"/>
    <w:rsid w:val="00694376"/>
    <w:rsid w:val="00697F0B"/>
    <w:rsid w:val="006B5D2D"/>
    <w:rsid w:val="006C10E2"/>
    <w:rsid w:val="00716392"/>
    <w:rsid w:val="007167CC"/>
    <w:rsid w:val="007276A1"/>
    <w:rsid w:val="0073426E"/>
    <w:rsid w:val="007531FE"/>
    <w:rsid w:val="00774BF6"/>
    <w:rsid w:val="00784339"/>
    <w:rsid w:val="00792410"/>
    <w:rsid w:val="007A4174"/>
    <w:rsid w:val="007C330F"/>
    <w:rsid w:val="007E702D"/>
    <w:rsid w:val="0081018F"/>
    <w:rsid w:val="00812DAD"/>
    <w:rsid w:val="00825CD5"/>
    <w:rsid w:val="0083508C"/>
    <w:rsid w:val="00885AE6"/>
    <w:rsid w:val="0089404A"/>
    <w:rsid w:val="008F6C91"/>
    <w:rsid w:val="009052E6"/>
    <w:rsid w:val="009231F2"/>
    <w:rsid w:val="009505B1"/>
    <w:rsid w:val="00953999"/>
    <w:rsid w:val="00975E31"/>
    <w:rsid w:val="009B3B0D"/>
    <w:rsid w:val="009C2305"/>
    <w:rsid w:val="009D5D14"/>
    <w:rsid w:val="009E5F9B"/>
    <w:rsid w:val="009E7A02"/>
    <w:rsid w:val="009E7E8C"/>
    <w:rsid w:val="009F6EF8"/>
    <w:rsid w:val="00A676DA"/>
    <w:rsid w:val="00AB583A"/>
    <w:rsid w:val="00AC57E8"/>
    <w:rsid w:val="00B113A2"/>
    <w:rsid w:val="00B23B1F"/>
    <w:rsid w:val="00B26067"/>
    <w:rsid w:val="00B70B9E"/>
    <w:rsid w:val="00B75E92"/>
    <w:rsid w:val="00BC7DBA"/>
    <w:rsid w:val="00BD166B"/>
    <w:rsid w:val="00C15566"/>
    <w:rsid w:val="00C55125"/>
    <w:rsid w:val="00C8737F"/>
    <w:rsid w:val="00CA5301"/>
    <w:rsid w:val="00CB5605"/>
    <w:rsid w:val="00CB5A59"/>
    <w:rsid w:val="00CC0706"/>
    <w:rsid w:val="00CC1572"/>
    <w:rsid w:val="00CC36F3"/>
    <w:rsid w:val="00CC50CF"/>
    <w:rsid w:val="00D174E9"/>
    <w:rsid w:val="00D325C8"/>
    <w:rsid w:val="00D42739"/>
    <w:rsid w:val="00D64C87"/>
    <w:rsid w:val="00D66BD7"/>
    <w:rsid w:val="00D8247C"/>
    <w:rsid w:val="00DC33E8"/>
    <w:rsid w:val="00DE6D5A"/>
    <w:rsid w:val="00DF56B0"/>
    <w:rsid w:val="00E00263"/>
    <w:rsid w:val="00E01A72"/>
    <w:rsid w:val="00E14FA4"/>
    <w:rsid w:val="00E418C6"/>
    <w:rsid w:val="00E61472"/>
    <w:rsid w:val="00E67834"/>
    <w:rsid w:val="00E72EC5"/>
    <w:rsid w:val="00E73D2C"/>
    <w:rsid w:val="00E93FA6"/>
    <w:rsid w:val="00E9684D"/>
    <w:rsid w:val="00EF50BE"/>
    <w:rsid w:val="00F343CE"/>
    <w:rsid w:val="00F4245D"/>
    <w:rsid w:val="00F6175F"/>
    <w:rsid w:val="00F62472"/>
    <w:rsid w:val="00F6705A"/>
    <w:rsid w:val="00F673BB"/>
    <w:rsid w:val="00F76571"/>
    <w:rsid w:val="00F829D8"/>
    <w:rsid w:val="00F849AC"/>
    <w:rsid w:val="00F86DDD"/>
    <w:rsid w:val="00F93AA8"/>
    <w:rsid w:val="00FE286F"/>
    <w:rsid w:val="00FF6F9E"/>
    <w:rsid w:val="00FF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1A6DC"/>
  <w15:docId w15:val="{D70D2D9C-32B0-4019-9AEC-92A8BBA6A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B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E2F"/>
    <w:pPr>
      <w:ind w:left="720"/>
      <w:contextualSpacing/>
    </w:pPr>
  </w:style>
  <w:style w:type="character" w:styleId="Strong">
    <w:name w:val="Strong"/>
    <w:basedOn w:val="DefaultParagraphFont"/>
    <w:uiPriority w:val="22"/>
    <w:qFormat/>
    <w:rsid w:val="00454913"/>
    <w:rPr>
      <w:b/>
      <w:bCs/>
    </w:rPr>
  </w:style>
  <w:style w:type="character" w:styleId="CommentReference">
    <w:name w:val="annotation reference"/>
    <w:basedOn w:val="DefaultParagraphFont"/>
    <w:uiPriority w:val="99"/>
    <w:semiHidden/>
    <w:unhideWhenUsed/>
    <w:rsid w:val="00193A7D"/>
    <w:rPr>
      <w:sz w:val="16"/>
      <w:szCs w:val="16"/>
    </w:rPr>
  </w:style>
  <w:style w:type="paragraph" w:styleId="CommentText">
    <w:name w:val="annotation text"/>
    <w:basedOn w:val="Normal"/>
    <w:link w:val="CommentTextChar"/>
    <w:uiPriority w:val="99"/>
    <w:unhideWhenUsed/>
    <w:rsid w:val="00193A7D"/>
    <w:pPr>
      <w:spacing w:line="240" w:lineRule="auto"/>
    </w:pPr>
    <w:rPr>
      <w:sz w:val="20"/>
      <w:szCs w:val="20"/>
    </w:rPr>
  </w:style>
  <w:style w:type="character" w:customStyle="1" w:styleId="CommentTextChar">
    <w:name w:val="Comment Text Char"/>
    <w:basedOn w:val="DefaultParagraphFont"/>
    <w:link w:val="CommentText"/>
    <w:uiPriority w:val="99"/>
    <w:rsid w:val="00193A7D"/>
    <w:rPr>
      <w:sz w:val="20"/>
      <w:szCs w:val="20"/>
    </w:rPr>
  </w:style>
  <w:style w:type="paragraph" w:styleId="CommentSubject">
    <w:name w:val="annotation subject"/>
    <w:basedOn w:val="CommentText"/>
    <w:next w:val="CommentText"/>
    <w:link w:val="CommentSubjectChar"/>
    <w:uiPriority w:val="99"/>
    <w:semiHidden/>
    <w:unhideWhenUsed/>
    <w:rsid w:val="00193A7D"/>
    <w:rPr>
      <w:b/>
      <w:bCs/>
    </w:rPr>
  </w:style>
  <w:style w:type="character" w:customStyle="1" w:styleId="CommentSubjectChar">
    <w:name w:val="Comment Subject Char"/>
    <w:basedOn w:val="CommentTextChar"/>
    <w:link w:val="CommentSubject"/>
    <w:uiPriority w:val="99"/>
    <w:semiHidden/>
    <w:rsid w:val="00193A7D"/>
    <w:rPr>
      <w:b/>
      <w:bCs/>
      <w:sz w:val="20"/>
      <w:szCs w:val="20"/>
    </w:rPr>
  </w:style>
  <w:style w:type="paragraph" w:styleId="BalloonText">
    <w:name w:val="Balloon Text"/>
    <w:basedOn w:val="Normal"/>
    <w:link w:val="BalloonTextChar"/>
    <w:uiPriority w:val="99"/>
    <w:semiHidden/>
    <w:unhideWhenUsed/>
    <w:rsid w:val="00193A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A7D"/>
    <w:rPr>
      <w:rFonts w:ascii="Segoe UI" w:hAnsi="Segoe UI" w:cs="Segoe UI"/>
      <w:sz w:val="18"/>
      <w:szCs w:val="18"/>
    </w:rPr>
  </w:style>
  <w:style w:type="paragraph" w:styleId="FootnoteText">
    <w:name w:val="footnote text"/>
    <w:basedOn w:val="Normal"/>
    <w:link w:val="FootnoteTextChar"/>
    <w:uiPriority w:val="99"/>
    <w:semiHidden/>
    <w:unhideWhenUsed/>
    <w:rsid w:val="00CA530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A530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A5301"/>
    <w:rPr>
      <w:vertAlign w:val="superscript"/>
    </w:rPr>
  </w:style>
  <w:style w:type="character" w:styleId="Hyperlink">
    <w:name w:val="Hyperlink"/>
    <w:basedOn w:val="DefaultParagraphFont"/>
    <w:uiPriority w:val="99"/>
    <w:semiHidden/>
    <w:unhideWhenUsed/>
    <w:rsid w:val="00F93AA8"/>
    <w:rPr>
      <w:color w:val="0000FF"/>
      <w:u w:val="single"/>
    </w:rPr>
  </w:style>
  <w:style w:type="paragraph" w:styleId="NoSpacing">
    <w:name w:val="No Spacing"/>
    <w:uiPriority w:val="1"/>
    <w:qFormat/>
    <w:rsid w:val="00774BF6"/>
    <w:pPr>
      <w:spacing w:after="0" w:line="240" w:lineRule="auto"/>
    </w:pPr>
  </w:style>
  <w:style w:type="paragraph" w:styleId="Header">
    <w:name w:val="header"/>
    <w:basedOn w:val="Normal"/>
    <w:link w:val="HeaderChar"/>
    <w:uiPriority w:val="99"/>
    <w:unhideWhenUsed/>
    <w:rsid w:val="000A0A73"/>
    <w:pPr>
      <w:tabs>
        <w:tab w:val="center" w:pos="4153"/>
        <w:tab w:val="right" w:pos="8306"/>
      </w:tabs>
      <w:spacing w:after="0" w:line="240" w:lineRule="auto"/>
    </w:pPr>
  </w:style>
  <w:style w:type="character" w:customStyle="1" w:styleId="HeaderChar">
    <w:name w:val="Header Char"/>
    <w:basedOn w:val="DefaultParagraphFont"/>
    <w:link w:val="Header"/>
    <w:uiPriority w:val="99"/>
    <w:rsid w:val="000A0A73"/>
  </w:style>
  <w:style w:type="paragraph" w:styleId="Footer">
    <w:name w:val="footer"/>
    <w:basedOn w:val="Normal"/>
    <w:link w:val="FooterChar"/>
    <w:uiPriority w:val="99"/>
    <w:unhideWhenUsed/>
    <w:rsid w:val="000A0A73"/>
    <w:pPr>
      <w:tabs>
        <w:tab w:val="center" w:pos="4153"/>
        <w:tab w:val="right" w:pos="8306"/>
      </w:tabs>
      <w:spacing w:after="0" w:line="240" w:lineRule="auto"/>
    </w:pPr>
  </w:style>
  <w:style w:type="character" w:customStyle="1" w:styleId="FooterChar">
    <w:name w:val="Footer Char"/>
    <w:basedOn w:val="DefaultParagraphFont"/>
    <w:link w:val="Footer"/>
    <w:uiPriority w:val="99"/>
    <w:rsid w:val="000A0A73"/>
  </w:style>
  <w:style w:type="paragraph" w:styleId="NormalWeb">
    <w:name w:val="Normal (Web)"/>
    <w:basedOn w:val="Normal"/>
    <w:uiPriority w:val="99"/>
    <w:unhideWhenUsed/>
    <w:rsid w:val="00BD166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05059">
      <w:bodyDiv w:val="1"/>
      <w:marLeft w:val="0"/>
      <w:marRight w:val="0"/>
      <w:marTop w:val="0"/>
      <w:marBottom w:val="0"/>
      <w:divBdr>
        <w:top w:val="none" w:sz="0" w:space="0" w:color="auto"/>
        <w:left w:val="none" w:sz="0" w:space="0" w:color="auto"/>
        <w:bottom w:val="none" w:sz="0" w:space="0" w:color="auto"/>
        <w:right w:val="none" w:sz="0" w:space="0" w:color="auto"/>
      </w:divBdr>
    </w:div>
    <w:div w:id="1062144478">
      <w:bodyDiv w:val="1"/>
      <w:marLeft w:val="0"/>
      <w:marRight w:val="0"/>
      <w:marTop w:val="0"/>
      <w:marBottom w:val="0"/>
      <w:divBdr>
        <w:top w:val="none" w:sz="0" w:space="0" w:color="auto"/>
        <w:left w:val="none" w:sz="0" w:space="0" w:color="auto"/>
        <w:bottom w:val="none" w:sz="0" w:space="0" w:color="auto"/>
        <w:right w:val="none" w:sz="0" w:space="0" w:color="auto"/>
      </w:divBdr>
    </w:div>
    <w:div w:id="1290742368">
      <w:bodyDiv w:val="1"/>
      <w:marLeft w:val="0"/>
      <w:marRight w:val="0"/>
      <w:marTop w:val="0"/>
      <w:marBottom w:val="0"/>
      <w:divBdr>
        <w:top w:val="none" w:sz="0" w:space="0" w:color="auto"/>
        <w:left w:val="none" w:sz="0" w:space="0" w:color="auto"/>
        <w:bottom w:val="none" w:sz="0" w:space="0" w:color="auto"/>
        <w:right w:val="none" w:sz="0" w:space="0" w:color="auto"/>
      </w:divBdr>
    </w:div>
    <w:div w:id="1308895585">
      <w:bodyDiv w:val="1"/>
      <w:marLeft w:val="0"/>
      <w:marRight w:val="0"/>
      <w:marTop w:val="0"/>
      <w:marBottom w:val="0"/>
      <w:divBdr>
        <w:top w:val="none" w:sz="0" w:space="0" w:color="auto"/>
        <w:left w:val="none" w:sz="0" w:space="0" w:color="auto"/>
        <w:bottom w:val="none" w:sz="0" w:space="0" w:color="auto"/>
        <w:right w:val="none" w:sz="0" w:space="0" w:color="auto"/>
      </w:divBdr>
    </w:div>
    <w:div w:id="1707095302">
      <w:bodyDiv w:val="1"/>
      <w:marLeft w:val="0"/>
      <w:marRight w:val="0"/>
      <w:marTop w:val="0"/>
      <w:marBottom w:val="0"/>
      <w:divBdr>
        <w:top w:val="none" w:sz="0" w:space="0" w:color="auto"/>
        <w:left w:val="none" w:sz="0" w:space="0" w:color="auto"/>
        <w:bottom w:val="none" w:sz="0" w:space="0" w:color="auto"/>
        <w:right w:val="none" w:sz="0" w:space="0" w:color="auto"/>
      </w:divBdr>
    </w:div>
    <w:div w:id="174052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724B7-4CF0-451F-AC87-D7CBE27F3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2789</Words>
  <Characters>1590</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Gaigala</dc:creator>
  <cp:lastModifiedBy>Windows User</cp:lastModifiedBy>
  <cp:revision>2</cp:revision>
  <cp:lastPrinted>2020-03-24T10:46:00Z</cp:lastPrinted>
  <dcterms:created xsi:type="dcterms:W3CDTF">2020-05-06T11:12:00Z</dcterms:created>
  <dcterms:modified xsi:type="dcterms:W3CDTF">2020-05-06T11:12:00Z</dcterms:modified>
</cp:coreProperties>
</file>