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2712EC4" w:rsidR="002C35F4" w:rsidRDefault="00DA151C" w:rsidP="006C1832">
      <w:pPr>
        <w:spacing w:after="0" w:line="240" w:lineRule="auto"/>
        <w:rPr>
          <w:b/>
          <w:bCs/>
        </w:rPr>
      </w:pPr>
      <w:r>
        <w:rPr>
          <w:b/>
          <w:bCs/>
        </w:rPr>
        <w:t>2</w:t>
      </w:r>
      <w:r w:rsidR="00432099">
        <w:rPr>
          <w:b/>
          <w:bCs/>
        </w:rPr>
        <w:t>3</w:t>
      </w:r>
      <w:r w:rsidR="00A80153">
        <w:rPr>
          <w:b/>
          <w:bCs/>
        </w:rPr>
        <w:t>.</w:t>
      </w:r>
      <w:r w:rsidR="009433A3">
        <w:rPr>
          <w:b/>
          <w:bCs/>
        </w:rPr>
        <w:t>1</w:t>
      </w:r>
      <w:r w:rsidR="004347A9">
        <w:rPr>
          <w:b/>
          <w:bCs/>
        </w:rPr>
        <w:t>1</w:t>
      </w:r>
      <w:r w:rsidR="009433A3">
        <w:rPr>
          <w:b/>
          <w:bCs/>
        </w:rPr>
        <w:t>.</w:t>
      </w:r>
      <w:r w:rsidR="00A80153">
        <w:rPr>
          <w:b/>
          <w:bCs/>
        </w:rPr>
        <w:t>2021</w:t>
      </w:r>
      <w:r>
        <w:rPr>
          <w:b/>
          <w:bCs/>
        </w:rPr>
        <w:t>(</w:t>
      </w:r>
      <w:r w:rsidR="00443DA9">
        <w:rPr>
          <w:b/>
          <w:bCs/>
        </w:rPr>
        <w:t>1</w:t>
      </w:r>
      <w:r>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398A2A1A" w14:textId="7B1BFC4D" w:rsidR="00432099" w:rsidRDefault="00432099" w:rsidP="00A80200">
      <w:pPr>
        <w:spacing w:after="0" w:line="240" w:lineRule="auto"/>
        <w:jc w:val="both"/>
      </w:pPr>
      <w:r w:rsidRPr="00432099">
        <w:t>Atgādinājums par PREDA reģistru pildīšanu</w:t>
      </w:r>
      <w:r w:rsidRPr="00432099">
        <w:t xml:space="preserve"> </w:t>
      </w:r>
    </w:p>
    <w:p w14:paraId="7BAB13C6" w14:textId="77777777" w:rsidR="00432099" w:rsidRDefault="00432099" w:rsidP="00A80200">
      <w:pPr>
        <w:spacing w:after="0" w:line="240" w:lineRule="auto"/>
        <w:jc w:val="both"/>
      </w:pPr>
    </w:p>
    <w:p w14:paraId="69D95C07" w14:textId="0AC4C36F"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02C00607" w14:textId="77777777" w:rsidR="00432099" w:rsidRPr="00432099" w:rsidRDefault="00432099" w:rsidP="00432099">
      <w:pPr>
        <w:tabs>
          <w:tab w:val="left" w:pos="7263"/>
        </w:tabs>
        <w:spacing w:after="120" w:line="240" w:lineRule="auto"/>
        <w:jc w:val="both"/>
        <w:rPr>
          <w:rFonts w:cstheme="minorHAnsi"/>
          <w:sz w:val="24"/>
          <w:szCs w:val="24"/>
          <w:shd w:val="clear" w:color="auto" w:fill="FFFFFF"/>
        </w:rPr>
      </w:pPr>
      <w:r w:rsidRPr="00432099">
        <w:rPr>
          <w:rFonts w:cstheme="minorHAnsi"/>
          <w:sz w:val="24"/>
          <w:szCs w:val="24"/>
        </w:rPr>
        <w:t xml:space="preserve">Nacionālais veselības dienests (turpmāk – Dienests) informē par primārās veselības aprūpes pakalpojumu sniedzēju (turpmāk – Pakalpojuma sniedzējs) pienākumu vienotās veselības nozares elektroniskās informācijas sistēmā (turpmāk – Veselības informācijas sistēma) iekļaut informāciju par pacientu un tam sniegto veselības aprūpi, t.sk. noteiktus medicīniskos dokumentus, kas satur ierobežotas pieejamības papilddatus par pacientu. </w:t>
      </w:r>
      <w:r w:rsidRPr="00432099">
        <w:rPr>
          <w:rFonts w:cstheme="minorHAnsi"/>
          <w:sz w:val="24"/>
          <w:szCs w:val="24"/>
          <w:shd w:val="clear" w:color="auto" w:fill="FFFFFF"/>
        </w:rPr>
        <w:t xml:space="preserve">Normatīvajā aktā noteikts, ka valsts apmaksātus veselības aprūpes pakalpojumus var sniegt tikai tie veselības aprūpes pakalpojumu sniedzēji, kuri ir noslēguši ar Dienestu līgumu par </w:t>
      </w:r>
      <w:r w:rsidRPr="00432099">
        <w:rPr>
          <w:rFonts w:cstheme="minorHAnsi"/>
          <w:sz w:val="24"/>
          <w:szCs w:val="24"/>
        </w:rPr>
        <w:t xml:space="preserve">Veselības informācijas </w:t>
      </w:r>
      <w:r w:rsidRPr="00432099">
        <w:rPr>
          <w:rFonts w:cstheme="minorHAnsi"/>
          <w:sz w:val="24"/>
          <w:szCs w:val="24"/>
          <w:shd w:val="clear" w:color="auto" w:fill="FFFFFF"/>
        </w:rPr>
        <w:t xml:space="preserve">sistēmas lietošanu un </w:t>
      </w:r>
      <w:r w:rsidRPr="00432099">
        <w:rPr>
          <w:rFonts w:cstheme="minorHAnsi"/>
          <w:bCs/>
          <w:sz w:val="24"/>
          <w:szCs w:val="24"/>
          <w:shd w:val="clear" w:color="auto" w:fill="FFFFFF"/>
        </w:rPr>
        <w:t xml:space="preserve">izpilda veselības informācijas sistēmas darbību regulējošajos normatīvajos aktos noteiktos pienākumus </w:t>
      </w:r>
      <w:r w:rsidRPr="00432099">
        <w:rPr>
          <w:rStyle w:val="FootnoteReference"/>
          <w:rFonts w:cstheme="minorHAnsi"/>
          <w:bCs/>
          <w:sz w:val="24"/>
          <w:szCs w:val="24"/>
          <w:shd w:val="clear" w:color="auto" w:fill="FFFFFF"/>
        </w:rPr>
        <w:footnoteReference w:id="1"/>
      </w:r>
      <w:r w:rsidRPr="00432099">
        <w:rPr>
          <w:rFonts w:cstheme="minorHAnsi"/>
          <w:sz w:val="24"/>
          <w:szCs w:val="24"/>
          <w:shd w:val="clear" w:color="auto" w:fill="FFFFFF"/>
        </w:rPr>
        <w:t>.</w:t>
      </w:r>
    </w:p>
    <w:p w14:paraId="1BB3E927" w14:textId="77777777" w:rsidR="00432099" w:rsidRPr="00432099" w:rsidRDefault="00432099" w:rsidP="00432099">
      <w:pPr>
        <w:tabs>
          <w:tab w:val="left" w:pos="7263"/>
        </w:tabs>
        <w:spacing w:after="120" w:line="240" w:lineRule="auto"/>
        <w:ind w:firstLine="709"/>
        <w:jc w:val="both"/>
        <w:rPr>
          <w:rFonts w:cstheme="minorHAnsi"/>
          <w:sz w:val="24"/>
          <w:szCs w:val="24"/>
        </w:rPr>
      </w:pPr>
      <w:r w:rsidRPr="00432099">
        <w:rPr>
          <w:rFonts w:cstheme="minorHAnsi"/>
          <w:sz w:val="24"/>
          <w:szCs w:val="24"/>
          <w:shd w:val="clear" w:color="auto" w:fill="FFFFFF"/>
        </w:rPr>
        <w:t xml:space="preserve">Pamatojoties uz noslēgto līgumu ar Dienestu, Pakalpojuma sniedzējs atbild par Veselības informācijas sistēmā ievadīto datu precizitāti un pareizību, Veselības informācijas sistēmas lietotāju veiktajām darbībām Veselības informācijas sistēmā </w:t>
      </w:r>
      <w:r w:rsidRPr="00432099">
        <w:rPr>
          <w:rStyle w:val="FootnoteReference"/>
          <w:rFonts w:cstheme="minorHAnsi"/>
          <w:sz w:val="24"/>
          <w:szCs w:val="24"/>
          <w:shd w:val="clear" w:color="auto" w:fill="FFFFFF"/>
        </w:rPr>
        <w:footnoteReference w:id="2"/>
      </w:r>
      <w:r w:rsidRPr="00432099">
        <w:rPr>
          <w:rFonts w:cstheme="minorHAnsi"/>
          <w:sz w:val="24"/>
          <w:szCs w:val="24"/>
          <w:shd w:val="clear" w:color="auto" w:fill="FFFFFF"/>
        </w:rPr>
        <w:t>.</w:t>
      </w:r>
    </w:p>
    <w:p w14:paraId="60042FE5" w14:textId="77777777" w:rsidR="00432099" w:rsidRPr="00432099" w:rsidRDefault="00432099" w:rsidP="00432099">
      <w:pPr>
        <w:spacing w:after="120" w:line="240" w:lineRule="auto"/>
        <w:ind w:firstLine="709"/>
        <w:jc w:val="both"/>
        <w:rPr>
          <w:rFonts w:cstheme="minorHAnsi"/>
          <w:sz w:val="24"/>
          <w:szCs w:val="24"/>
        </w:rPr>
      </w:pPr>
      <w:r w:rsidRPr="00432099">
        <w:rPr>
          <w:rFonts w:cstheme="minorHAnsi"/>
          <w:sz w:val="24"/>
          <w:szCs w:val="24"/>
        </w:rPr>
        <w:t>Atbilstoši Ministru kabineta 11.03.2014. noteikumiem Nr.134 “Noteikumi par vienoto veselības nozares elektronisko informācijas sistēmu” (turpmāk – Noteikumi Nr.134) Dienests ir Veselības informācijas sistēmas pārzinis</w:t>
      </w:r>
      <w:r w:rsidRPr="00432099">
        <w:rPr>
          <w:rStyle w:val="FootnoteReference"/>
          <w:rFonts w:cstheme="minorHAnsi"/>
          <w:sz w:val="24"/>
          <w:szCs w:val="24"/>
        </w:rPr>
        <w:footnoteReference w:id="3"/>
      </w:r>
      <w:r w:rsidRPr="00432099">
        <w:rPr>
          <w:rFonts w:cstheme="minorHAnsi"/>
          <w:sz w:val="24"/>
          <w:szCs w:val="24"/>
        </w:rPr>
        <w:t>, kas Veselības informācijas sistēmā nosaka ar veselības aprūpi saistīto datu apmaiņas struktūras standartus, prasības piekļuvei veselības informācijas sistēmai, izmantojamos klasifikatorus, drošības un tehniskos standartus, kā arī nodrošina Veselības informācijas sistēmā esošo medicīnisko dokumentu uzglabāšanu un to pieejamību</w:t>
      </w:r>
      <w:r w:rsidRPr="00432099">
        <w:rPr>
          <w:rStyle w:val="FootnoteReference"/>
          <w:rFonts w:cstheme="minorHAnsi"/>
          <w:sz w:val="24"/>
          <w:szCs w:val="24"/>
        </w:rPr>
        <w:footnoteReference w:id="4"/>
      </w:r>
      <w:r w:rsidRPr="00432099">
        <w:rPr>
          <w:rFonts w:cstheme="minorHAnsi"/>
          <w:sz w:val="24"/>
          <w:szCs w:val="24"/>
        </w:rPr>
        <w:t>.</w:t>
      </w:r>
    </w:p>
    <w:p w14:paraId="1BAE53E9" w14:textId="77777777" w:rsidR="00432099" w:rsidRPr="00432099" w:rsidRDefault="00432099" w:rsidP="00432099">
      <w:pPr>
        <w:spacing w:after="120" w:line="240" w:lineRule="auto"/>
        <w:ind w:firstLine="709"/>
        <w:jc w:val="both"/>
        <w:rPr>
          <w:rFonts w:cstheme="minorHAnsi"/>
          <w:sz w:val="24"/>
          <w:szCs w:val="24"/>
        </w:rPr>
      </w:pPr>
      <w:r w:rsidRPr="00432099">
        <w:rPr>
          <w:rFonts w:cstheme="minorHAnsi"/>
          <w:sz w:val="24"/>
          <w:szCs w:val="24"/>
        </w:rPr>
        <w:t xml:space="preserve">Saskaņā ar Noteikumu Nr.134 7.9., 7.12. – 7.16., 7.19., 7.20. un 11.4.10. apakšpunktiem, Veselības informācijas sistēmā nekavējoties, bet </w:t>
      </w:r>
      <w:r w:rsidRPr="00432099">
        <w:rPr>
          <w:rFonts w:cstheme="minorHAnsi"/>
          <w:b/>
          <w:bCs/>
          <w:sz w:val="24"/>
          <w:szCs w:val="24"/>
        </w:rPr>
        <w:t>ne vēlāk kā 14 dienu laikā</w:t>
      </w:r>
      <w:r w:rsidRPr="00432099">
        <w:rPr>
          <w:rFonts w:cstheme="minorHAnsi"/>
          <w:sz w:val="24"/>
          <w:szCs w:val="24"/>
        </w:rPr>
        <w:t xml:space="preserve"> </w:t>
      </w:r>
      <w:r w:rsidRPr="00432099">
        <w:rPr>
          <w:rFonts w:cstheme="minorHAnsi"/>
          <w:sz w:val="24"/>
          <w:szCs w:val="24"/>
          <w:u w:val="single"/>
        </w:rPr>
        <w:t>pēc diagnozes noteikšanas, ārstēšanas un slimības norises izvērtēšanas</w:t>
      </w:r>
      <w:r w:rsidRPr="00432099">
        <w:rPr>
          <w:rFonts w:cstheme="minorHAnsi"/>
          <w:sz w:val="24"/>
          <w:szCs w:val="24"/>
        </w:rPr>
        <w:t>, ir jānodrošina visas nepieciešamās (normatīvajā regulējumā norādītās) un pieejamās informācijas ievadīšana PREDA (ar noteiktām slimībām slimojošu pacientu reģistri) sistēmā:</w:t>
      </w:r>
    </w:p>
    <w:p w14:paraId="09D5E4D2"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traumu, ievainojumu un saindēšanās gadījumu karte;</w:t>
      </w:r>
    </w:p>
    <w:p w14:paraId="6DB7F13A"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karte pacientam ar psihiskiem un uzvedības traucējumiem;</w:t>
      </w:r>
    </w:p>
    <w:p w14:paraId="44AE2CF7"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cukura diabēta pacienta karte;</w:t>
      </w:r>
    </w:p>
    <w:p w14:paraId="68FFD2F9"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tuberkulozes pacienta karte;</w:t>
      </w:r>
    </w:p>
    <w:p w14:paraId="394D9318"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onkoloģiskā pacienta reģistrācijas karte;</w:t>
      </w:r>
    </w:p>
    <w:p w14:paraId="7010C420"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onkoloģiskā pacienta ārstēšanas karte;</w:t>
      </w:r>
    </w:p>
    <w:p w14:paraId="4E40F99C"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karte pacientam ar iedzimtām anomālijām;</w:t>
      </w:r>
    </w:p>
    <w:p w14:paraId="2DB4A46C" w14:textId="77777777" w:rsidR="00432099" w:rsidRPr="00432099" w:rsidRDefault="00432099" w:rsidP="00432099">
      <w:pPr>
        <w:pStyle w:val="ListParagraph"/>
        <w:numPr>
          <w:ilvl w:val="0"/>
          <w:numId w:val="32"/>
        </w:numPr>
        <w:spacing w:after="120"/>
        <w:contextualSpacing/>
        <w:jc w:val="both"/>
        <w:rPr>
          <w:rFonts w:asciiTheme="minorHAnsi" w:hAnsiTheme="minorHAnsi" w:cstheme="minorHAnsi"/>
          <w:sz w:val="24"/>
          <w:szCs w:val="24"/>
        </w:rPr>
      </w:pPr>
      <w:r w:rsidRPr="00432099">
        <w:rPr>
          <w:rFonts w:asciiTheme="minorHAnsi" w:hAnsiTheme="minorHAnsi" w:cstheme="minorHAnsi"/>
          <w:sz w:val="24"/>
          <w:szCs w:val="24"/>
        </w:rPr>
        <w:t>multiplās sklerozes pacienta karte.</w:t>
      </w:r>
    </w:p>
    <w:p w14:paraId="06149968" w14:textId="77777777" w:rsidR="00432099" w:rsidRPr="00432099" w:rsidRDefault="00432099" w:rsidP="00432099">
      <w:pPr>
        <w:spacing w:after="120" w:line="240" w:lineRule="auto"/>
        <w:ind w:firstLine="709"/>
        <w:jc w:val="both"/>
        <w:rPr>
          <w:rFonts w:cstheme="minorHAnsi"/>
          <w:sz w:val="24"/>
          <w:szCs w:val="24"/>
        </w:rPr>
      </w:pPr>
      <w:r w:rsidRPr="00432099">
        <w:rPr>
          <w:rFonts w:cstheme="minorHAnsi"/>
          <w:sz w:val="24"/>
          <w:szCs w:val="24"/>
        </w:rPr>
        <w:lastRenderedPageBreak/>
        <w:t xml:space="preserve">Saskaņā ar Noteikumu Nr.134 7.10., 7.11., 11.4.8. un 11.4.9. apakšpunktiem, Veselības informācijas sistēmā </w:t>
      </w:r>
      <w:bookmarkStart w:id="0" w:name="_Hlk86330895"/>
      <w:r w:rsidRPr="00432099">
        <w:rPr>
          <w:rFonts w:cstheme="minorHAnsi"/>
          <w:sz w:val="24"/>
          <w:szCs w:val="24"/>
        </w:rPr>
        <w:t>nekavējoties, bet ne vēlāk kā 14 dienu laikā pēc ārstēšanas epizodes uzsākšanas, jāiekļauj narkoloģiskā pacienta karte</w:t>
      </w:r>
      <w:bookmarkEnd w:id="0"/>
      <w:r w:rsidRPr="00432099">
        <w:rPr>
          <w:rFonts w:cstheme="minorHAnsi"/>
          <w:sz w:val="24"/>
          <w:szCs w:val="24"/>
        </w:rPr>
        <w:t xml:space="preserve">, kā arī nekavējoties, bet ne vēlāk kā 14 dienu laikā pēc ārstēšanas epizodes rezultāta izvērtēšanas, jāiekļauj narkoloģiskā pacienta ārstniecības rezultāta </w:t>
      </w:r>
      <w:proofErr w:type="spellStart"/>
      <w:r w:rsidRPr="00432099">
        <w:rPr>
          <w:rFonts w:cstheme="minorHAnsi"/>
          <w:sz w:val="24"/>
          <w:szCs w:val="24"/>
        </w:rPr>
        <w:t>izvērtējums</w:t>
      </w:r>
      <w:proofErr w:type="spellEnd"/>
      <w:r w:rsidRPr="00432099">
        <w:rPr>
          <w:rFonts w:cstheme="minorHAnsi"/>
          <w:sz w:val="24"/>
          <w:szCs w:val="24"/>
        </w:rPr>
        <w:t xml:space="preserve">. </w:t>
      </w:r>
    </w:p>
    <w:p w14:paraId="5F4DD9E9" w14:textId="77777777" w:rsidR="00432099" w:rsidRPr="00432099" w:rsidRDefault="00432099" w:rsidP="00432099">
      <w:pPr>
        <w:spacing w:after="120" w:line="240" w:lineRule="auto"/>
        <w:ind w:firstLine="709"/>
        <w:jc w:val="both"/>
        <w:rPr>
          <w:rFonts w:cstheme="minorHAnsi"/>
          <w:b/>
          <w:sz w:val="24"/>
          <w:szCs w:val="24"/>
        </w:rPr>
      </w:pPr>
      <w:r w:rsidRPr="00432099">
        <w:rPr>
          <w:rFonts w:cstheme="minorHAnsi"/>
          <w:b/>
          <w:sz w:val="24"/>
          <w:szCs w:val="24"/>
        </w:rPr>
        <w:t xml:space="preserve">Dienests, </w:t>
      </w:r>
      <w:r w:rsidRPr="00432099">
        <w:rPr>
          <w:rFonts w:cstheme="minorHAnsi"/>
          <w:bCs/>
          <w:sz w:val="24"/>
          <w:szCs w:val="24"/>
        </w:rPr>
        <w:t>pamatojoties uz Noteikumiem Nr.134, kā arī noslēgtiem līgumiem</w:t>
      </w:r>
      <w:r w:rsidRPr="00432099">
        <w:rPr>
          <w:rFonts w:cstheme="minorHAnsi"/>
          <w:b/>
          <w:sz w:val="24"/>
          <w:szCs w:val="24"/>
        </w:rPr>
        <w:t xml:space="preserve">, aicina  Pakalpojuma sniedzējus pārskatīt un </w:t>
      </w:r>
      <w:r w:rsidRPr="00432099">
        <w:rPr>
          <w:rFonts w:cstheme="minorHAnsi"/>
          <w:b/>
          <w:sz w:val="24"/>
          <w:szCs w:val="24"/>
          <w:u w:val="single"/>
        </w:rPr>
        <w:t>nepieciešamības gadījumā precizēt, papildināt vai iekļaut</w:t>
      </w:r>
      <w:r w:rsidRPr="00432099">
        <w:rPr>
          <w:rFonts w:cstheme="minorHAnsi"/>
          <w:b/>
          <w:sz w:val="24"/>
          <w:szCs w:val="24"/>
        </w:rPr>
        <w:t xml:space="preserve"> Veselības informācijas sistēmā trūkstošo informāciju (augstākminētos medicīniskos dokumentos, ja tas attiecas uz pakalpojuma sniedzēja profilu un kompetenci) par 2020. gadu </w:t>
      </w:r>
      <w:r w:rsidRPr="00432099">
        <w:rPr>
          <w:rFonts w:cstheme="minorHAnsi"/>
          <w:b/>
          <w:sz w:val="24"/>
          <w:szCs w:val="24"/>
          <w:u w:val="single"/>
        </w:rPr>
        <w:t>līdz 2021.g. 31. decembrim</w:t>
      </w:r>
      <w:r w:rsidRPr="00432099">
        <w:rPr>
          <w:rFonts w:cstheme="minorHAnsi"/>
          <w:b/>
          <w:sz w:val="24"/>
          <w:szCs w:val="24"/>
        </w:rPr>
        <w:t xml:space="preserve">, kā arī savlaicīgi ievadīt informāciju par 2021. gadu. </w:t>
      </w:r>
    </w:p>
    <w:p w14:paraId="48ADA326" w14:textId="77777777" w:rsidR="00432099" w:rsidRPr="00432099" w:rsidRDefault="00432099" w:rsidP="00432099">
      <w:pPr>
        <w:spacing w:after="120" w:line="240" w:lineRule="auto"/>
        <w:jc w:val="both"/>
        <w:rPr>
          <w:rFonts w:cstheme="minorHAnsi"/>
          <w:b/>
          <w:bCs/>
          <w:sz w:val="24"/>
          <w:szCs w:val="24"/>
        </w:rPr>
      </w:pPr>
      <w:r w:rsidRPr="00432099">
        <w:rPr>
          <w:rFonts w:cstheme="minorHAnsi"/>
          <w:sz w:val="24"/>
          <w:szCs w:val="24"/>
        </w:rPr>
        <w:tab/>
        <w:t>Papildus Dienests vērš Pakalpojuma sniedzēju uzmanību uz pienākumu</w:t>
      </w:r>
      <w:r w:rsidRPr="00432099">
        <w:rPr>
          <w:rFonts w:cstheme="minorHAnsi"/>
          <w:b/>
          <w:bCs/>
          <w:sz w:val="24"/>
          <w:szCs w:val="24"/>
        </w:rPr>
        <w:t xml:space="preserve"> augstāk minētos medicīniskos dokumentus (</w:t>
      </w:r>
      <w:r w:rsidRPr="00432099">
        <w:rPr>
          <w:rFonts w:cstheme="minorHAnsi"/>
          <w:b/>
          <w:bCs/>
          <w:sz w:val="24"/>
          <w:szCs w:val="24"/>
          <w:u w:val="single"/>
        </w:rPr>
        <w:t>kuru aizpildīšana ir pakalpojuma sniedzēja kompetencē</w:t>
      </w:r>
      <w:r w:rsidRPr="00432099">
        <w:rPr>
          <w:rFonts w:cstheme="minorHAnsi"/>
          <w:b/>
          <w:bCs/>
          <w:sz w:val="24"/>
          <w:szCs w:val="24"/>
        </w:rPr>
        <w:t xml:space="preserve">) iekļaut Veselības informācijas sistēmā nekavējoties, bet ne vēlāk kā 14 dienu laikā </w:t>
      </w:r>
      <w:r w:rsidRPr="00432099">
        <w:rPr>
          <w:rFonts w:cstheme="minorHAnsi"/>
          <w:b/>
          <w:bCs/>
          <w:sz w:val="24"/>
          <w:szCs w:val="24"/>
          <w:shd w:val="clear" w:color="auto" w:fill="FFFFFF"/>
        </w:rPr>
        <w:t>pēc veselības aprūpes pakalpojuma sniegšanas pacientam</w:t>
      </w:r>
      <w:r w:rsidRPr="00432099">
        <w:rPr>
          <w:rFonts w:cstheme="minorHAnsi"/>
          <w:b/>
          <w:bCs/>
          <w:sz w:val="24"/>
          <w:szCs w:val="24"/>
        </w:rPr>
        <w:t>, t.sk. lai nodrošinātu datu centralizētu apstrādi, kas nepieciešama gan ārstniecībā, gan statistikas nodrošināšanai un pētniecībai.</w:t>
      </w:r>
    </w:p>
    <w:p w14:paraId="4858CB09" w14:textId="77777777" w:rsidR="00432099" w:rsidRPr="00432099" w:rsidRDefault="00432099" w:rsidP="00432099">
      <w:pPr>
        <w:spacing w:after="120" w:line="240" w:lineRule="auto"/>
        <w:ind w:firstLine="720"/>
        <w:jc w:val="both"/>
        <w:rPr>
          <w:rFonts w:cstheme="minorHAnsi"/>
          <w:b/>
          <w:bCs/>
          <w:sz w:val="24"/>
          <w:szCs w:val="24"/>
        </w:rPr>
      </w:pPr>
      <w:r w:rsidRPr="00432099">
        <w:rPr>
          <w:rFonts w:cstheme="minorHAnsi"/>
          <w:sz w:val="24"/>
          <w:szCs w:val="24"/>
          <w:shd w:val="clear" w:color="auto" w:fill="FFFFFF"/>
        </w:rPr>
        <w:t>Atbilstoši noslēgtam līgumam ar Dienestu, Dienests pieņem lēmumu par ieturējuma izdarīšanu pakalpojuma tarifa apmērā, vai par izrakstīto kompensējamo zāļu (medicīnisko ierīču) kompensētās vērtības atmaksu, ja konstatē, ka par attiecīgo veselības aprūpes pakalpojumu nav aizpildīta medicīniskā un uzskaites dokumentācija vai tā aizpildīta nepilnīgi</w:t>
      </w:r>
      <w:r w:rsidRPr="00432099">
        <w:rPr>
          <w:rStyle w:val="FootnoteReference"/>
          <w:rFonts w:cstheme="minorHAnsi"/>
          <w:sz w:val="24"/>
          <w:szCs w:val="24"/>
          <w:shd w:val="clear" w:color="auto" w:fill="FFFFFF"/>
        </w:rPr>
        <w:footnoteReference w:id="5"/>
      </w:r>
      <w:r w:rsidRPr="00432099">
        <w:rPr>
          <w:rFonts w:cstheme="minorHAnsi"/>
          <w:sz w:val="24"/>
          <w:szCs w:val="24"/>
          <w:shd w:val="clear" w:color="auto" w:fill="FFFFFF"/>
        </w:rPr>
        <w:t>.</w:t>
      </w:r>
    </w:p>
    <w:p w14:paraId="1171F722" w14:textId="77777777" w:rsidR="00432099" w:rsidRPr="00432099" w:rsidRDefault="00432099" w:rsidP="00432099">
      <w:pPr>
        <w:spacing w:after="120" w:line="240" w:lineRule="auto"/>
        <w:jc w:val="both"/>
        <w:rPr>
          <w:rFonts w:cstheme="minorHAnsi"/>
          <w:bCs/>
          <w:sz w:val="24"/>
          <w:szCs w:val="24"/>
        </w:rPr>
      </w:pPr>
      <w:r w:rsidRPr="00432099">
        <w:rPr>
          <w:rFonts w:cstheme="minorHAnsi"/>
          <w:b/>
          <w:bCs/>
          <w:sz w:val="24"/>
          <w:szCs w:val="24"/>
        </w:rPr>
        <w:tab/>
      </w:r>
      <w:r w:rsidRPr="00432099">
        <w:rPr>
          <w:rFonts w:cstheme="minorHAnsi"/>
          <w:bCs/>
          <w:sz w:val="24"/>
          <w:szCs w:val="24"/>
        </w:rPr>
        <w:t xml:space="preserve">Informācija un instrukcijas par Veselības informācijas sistēmas lietošanu ir pieejama Dienesta tīmekļvietnē </w:t>
      </w:r>
      <w:hyperlink r:id="rId7" w:history="1">
        <w:r w:rsidRPr="00432099">
          <w:rPr>
            <w:rStyle w:val="Hyperlink"/>
            <w:rFonts w:cstheme="minorHAnsi"/>
            <w:bCs/>
            <w:sz w:val="24"/>
            <w:szCs w:val="24"/>
          </w:rPr>
          <w:t>https://www.vmnvd.gov.lv/lv/macibu-un-informativie-materiali</w:t>
        </w:r>
      </w:hyperlink>
      <w:r w:rsidRPr="00432099">
        <w:rPr>
          <w:rFonts w:cstheme="minorHAnsi"/>
          <w:bCs/>
          <w:sz w:val="24"/>
          <w:szCs w:val="24"/>
        </w:rPr>
        <w:t xml:space="preserve">, kā arī Veselības informācijas sistēmas tīmekļvietnē </w:t>
      </w:r>
      <w:hyperlink r:id="rId8" w:history="1">
        <w:r w:rsidRPr="00432099">
          <w:rPr>
            <w:rStyle w:val="Hyperlink"/>
            <w:rFonts w:cstheme="minorHAnsi"/>
            <w:bCs/>
            <w:sz w:val="24"/>
            <w:szCs w:val="24"/>
          </w:rPr>
          <w:t>https://eveseliba.gov.lv/</w:t>
        </w:r>
      </w:hyperlink>
      <w:r w:rsidRPr="00432099">
        <w:rPr>
          <w:rFonts w:cstheme="minorHAnsi"/>
          <w:bCs/>
          <w:sz w:val="24"/>
          <w:szCs w:val="24"/>
        </w:rPr>
        <w:t xml:space="preserve">, t.sk. par PREDA reģistriem: </w:t>
      </w:r>
    </w:p>
    <w:p w14:paraId="5C22852D" w14:textId="77777777" w:rsidR="00432099" w:rsidRPr="00432099" w:rsidRDefault="00432099" w:rsidP="00432099">
      <w:pPr>
        <w:spacing w:after="120" w:line="240" w:lineRule="auto"/>
        <w:jc w:val="both"/>
        <w:rPr>
          <w:rFonts w:cstheme="minorHAnsi"/>
          <w:bCs/>
          <w:sz w:val="24"/>
          <w:szCs w:val="24"/>
        </w:rPr>
      </w:pPr>
      <w:hyperlink r:id="rId9" w:history="1">
        <w:r w:rsidRPr="00432099">
          <w:rPr>
            <w:rStyle w:val="Hyperlink"/>
            <w:rFonts w:cstheme="minorHAnsi"/>
            <w:bCs/>
            <w:sz w:val="24"/>
            <w:szCs w:val="24"/>
          </w:rPr>
          <w:t>https://eveseliba.gov.lv/sakums/m%C4%81c%C4%ABbu-materi%C4%81li/veselibas-aprupes-profesionaliem/macibu-instrukcijas-(pdf)/preda-registri</w:t>
        </w:r>
      </w:hyperlink>
      <w:r w:rsidRPr="00432099">
        <w:rPr>
          <w:rFonts w:cstheme="minorHAnsi"/>
          <w:bCs/>
          <w:sz w:val="24"/>
          <w:szCs w:val="24"/>
        </w:rPr>
        <w:t>.</w:t>
      </w:r>
    </w:p>
    <w:p w14:paraId="335C0789" w14:textId="77777777" w:rsidR="00432099" w:rsidRPr="00432099" w:rsidRDefault="00432099" w:rsidP="00432099">
      <w:pPr>
        <w:spacing w:after="120" w:line="240" w:lineRule="auto"/>
        <w:jc w:val="both"/>
        <w:rPr>
          <w:rFonts w:cstheme="minorHAnsi"/>
          <w:bCs/>
          <w:sz w:val="24"/>
          <w:szCs w:val="24"/>
        </w:rPr>
      </w:pPr>
      <w:r w:rsidRPr="00432099">
        <w:rPr>
          <w:rFonts w:cstheme="minorHAnsi"/>
          <w:bCs/>
          <w:sz w:val="24"/>
          <w:szCs w:val="24"/>
        </w:rPr>
        <w:tab/>
        <w:t xml:space="preserve">Ar jautājumiem par Veselības informācijas sistēmas lietošanu aicinām vērsties Veselības informācijas sistēmas lietotāju atbalsta dienestā. </w:t>
      </w:r>
    </w:p>
    <w:p w14:paraId="6C99D3BB" w14:textId="77777777" w:rsidR="00432099" w:rsidRPr="00432099" w:rsidRDefault="00432099" w:rsidP="00432099">
      <w:pPr>
        <w:pStyle w:val="ListParagraph"/>
        <w:numPr>
          <w:ilvl w:val="0"/>
          <w:numId w:val="33"/>
        </w:numPr>
        <w:spacing w:after="120"/>
        <w:contextualSpacing/>
        <w:jc w:val="both"/>
        <w:rPr>
          <w:rFonts w:asciiTheme="minorHAnsi" w:hAnsiTheme="minorHAnsi" w:cstheme="minorHAnsi"/>
          <w:bCs/>
          <w:sz w:val="24"/>
          <w:szCs w:val="24"/>
        </w:rPr>
      </w:pPr>
      <w:r w:rsidRPr="00432099">
        <w:rPr>
          <w:rFonts w:asciiTheme="minorHAnsi" w:hAnsiTheme="minorHAnsi" w:cstheme="minorHAnsi"/>
          <w:bCs/>
          <w:sz w:val="24"/>
          <w:szCs w:val="24"/>
        </w:rPr>
        <w:t>Tālrunis speciālistiem: 67803301, darba laiks: katru dienu no plkst. 8.00 līdz 20.00;</w:t>
      </w:r>
    </w:p>
    <w:p w14:paraId="645C9947" w14:textId="77777777" w:rsidR="00432099" w:rsidRPr="00432099" w:rsidRDefault="00432099" w:rsidP="00432099">
      <w:pPr>
        <w:pStyle w:val="ListParagraph"/>
        <w:numPr>
          <w:ilvl w:val="0"/>
          <w:numId w:val="33"/>
        </w:numPr>
        <w:spacing w:after="120"/>
        <w:contextualSpacing/>
        <w:jc w:val="both"/>
        <w:rPr>
          <w:rFonts w:asciiTheme="minorHAnsi" w:hAnsiTheme="minorHAnsi" w:cstheme="minorHAnsi"/>
          <w:bCs/>
          <w:sz w:val="24"/>
          <w:szCs w:val="24"/>
        </w:rPr>
      </w:pPr>
      <w:r w:rsidRPr="00432099">
        <w:rPr>
          <w:rFonts w:asciiTheme="minorHAnsi" w:hAnsiTheme="minorHAnsi" w:cstheme="minorHAnsi"/>
          <w:bCs/>
          <w:sz w:val="24"/>
          <w:szCs w:val="24"/>
        </w:rPr>
        <w:t xml:space="preserve">Elektroniskai saziņai un konsultācijām: </w:t>
      </w:r>
      <w:hyperlink r:id="rId10" w:history="1">
        <w:r w:rsidRPr="00432099">
          <w:rPr>
            <w:rStyle w:val="Hyperlink"/>
            <w:rFonts w:asciiTheme="minorHAnsi" w:hAnsiTheme="minorHAnsi" w:cstheme="minorHAnsi"/>
            <w:bCs/>
            <w:sz w:val="24"/>
            <w:szCs w:val="24"/>
          </w:rPr>
          <w:t>atbalsts@eveseliba.gov.lv</w:t>
        </w:r>
      </w:hyperlink>
      <w:r w:rsidRPr="00432099">
        <w:rPr>
          <w:rFonts w:asciiTheme="minorHAnsi" w:hAnsiTheme="minorHAnsi" w:cstheme="minorHAnsi"/>
          <w:bCs/>
          <w:sz w:val="24"/>
          <w:szCs w:val="24"/>
        </w:rPr>
        <w:t>.</w:t>
      </w:r>
    </w:p>
    <w:p w14:paraId="3761571B" w14:textId="4DE272DE" w:rsidR="004347A9" w:rsidRPr="00432099" w:rsidRDefault="004347A9" w:rsidP="00432099">
      <w:pPr>
        <w:rPr>
          <w:rFonts w:cstheme="minorHAnsi"/>
          <w:b/>
          <w:bCs/>
        </w:rPr>
      </w:pPr>
    </w:p>
    <w:sectPr w:rsidR="004347A9" w:rsidRPr="004320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D282" w14:textId="77777777" w:rsidR="005E1357" w:rsidRDefault="005E1357" w:rsidP="00432099">
      <w:pPr>
        <w:spacing w:after="0" w:line="240" w:lineRule="auto"/>
      </w:pPr>
      <w:r>
        <w:separator/>
      </w:r>
    </w:p>
  </w:endnote>
  <w:endnote w:type="continuationSeparator" w:id="0">
    <w:p w14:paraId="7D606206" w14:textId="77777777" w:rsidR="005E1357" w:rsidRDefault="005E1357"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9B13" w14:textId="77777777" w:rsidR="005E1357" w:rsidRDefault="005E1357" w:rsidP="00432099">
      <w:pPr>
        <w:spacing w:after="0" w:line="240" w:lineRule="auto"/>
      </w:pPr>
      <w:r>
        <w:separator/>
      </w:r>
    </w:p>
  </w:footnote>
  <w:footnote w:type="continuationSeparator" w:id="0">
    <w:p w14:paraId="11686762" w14:textId="77777777" w:rsidR="005E1357" w:rsidRDefault="005E1357" w:rsidP="00432099">
      <w:pPr>
        <w:spacing w:after="0" w:line="240" w:lineRule="auto"/>
      </w:pPr>
      <w:r>
        <w:continuationSeparator/>
      </w:r>
    </w:p>
  </w:footnote>
  <w:footnote w:id="1">
    <w:p w14:paraId="4F712BCF" w14:textId="77777777" w:rsidR="00432099" w:rsidRPr="004E319A" w:rsidRDefault="00432099" w:rsidP="00432099">
      <w:pPr>
        <w:pStyle w:val="FootnoteText"/>
        <w:jc w:val="both"/>
        <w:rPr>
          <w:rFonts w:ascii="Times New Roman" w:hAnsi="Times New Roman" w:cs="Times New Roman"/>
          <w:lang w:val="lv-LV"/>
        </w:rPr>
      </w:pPr>
      <w:r w:rsidRPr="004E319A">
        <w:rPr>
          <w:rStyle w:val="FootnoteReference"/>
          <w:rFonts w:ascii="Times New Roman" w:hAnsi="Times New Roman" w:cs="Times New Roman"/>
          <w:lang w:val="lv-LV"/>
        </w:rPr>
        <w:footnoteRef/>
      </w:r>
      <w:r w:rsidRPr="004E319A">
        <w:rPr>
          <w:rFonts w:ascii="Times New Roman" w:hAnsi="Times New Roman" w:cs="Times New Roman"/>
          <w:lang w:val="lv-LV"/>
        </w:rPr>
        <w:t xml:space="preserve"> MK</w:t>
      </w:r>
      <w:r>
        <w:rPr>
          <w:rFonts w:ascii="Times New Roman" w:hAnsi="Times New Roman" w:cs="Times New Roman"/>
          <w:lang w:val="lv-LV"/>
        </w:rPr>
        <w:t xml:space="preserve"> 28.08.2018. noteikumu  Nr.555 „</w:t>
      </w:r>
      <w:r w:rsidRPr="004E319A">
        <w:rPr>
          <w:rFonts w:ascii="Times New Roman" w:hAnsi="Times New Roman" w:cs="Times New Roman"/>
          <w:shd w:val="clear" w:color="auto" w:fill="FFFFFF"/>
          <w:lang w:val="lv-LV"/>
        </w:rPr>
        <w:t>Veselības aprūpes pakalpojumu organizēšanas un samaksas kārtība</w:t>
      </w:r>
      <w:r w:rsidRPr="004E319A">
        <w:rPr>
          <w:rFonts w:ascii="Times New Roman" w:hAnsi="Times New Roman" w:cs="Times New Roman"/>
          <w:lang w:val="lv-LV"/>
        </w:rPr>
        <w:t>” 8.6.apakšpunkts</w:t>
      </w:r>
      <w:r>
        <w:rPr>
          <w:rFonts w:ascii="Times New Roman" w:hAnsi="Times New Roman" w:cs="Times New Roman"/>
          <w:lang w:val="lv-LV"/>
        </w:rPr>
        <w:t>.</w:t>
      </w:r>
    </w:p>
  </w:footnote>
  <w:footnote w:id="2">
    <w:p w14:paraId="43AA7712" w14:textId="77777777" w:rsidR="00432099" w:rsidRPr="004E319A" w:rsidRDefault="00432099" w:rsidP="00432099">
      <w:pPr>
        <w:pStyle w:val="FootnoteText"/>
        <w:jc w:val="both"/>
        <w:rPr>
          <w:rFonts w:ascii="Times New Roman" w:hAnsi="Times New Roman" w:cs="Times New Roman"/>
          <w:lang w:val="lv-LV"/>
        </w:rPr>
      </w:pPr>
      <w:r w:rsidRPr="004E319A">
        <w:rPr>
          <w:rStyle w:val="FootnoteReference"/>
          <w:rFonts w:ascii="Times New Roman" w:hAnsi="Times New Roman" w:cs="Times New Roman"/>
        </w:rPr>
        <w:footnoteRef/>
      </w:r>
      <w:r w:rsidRPr="004E319A">
        <w:rPr>
          <w:rFonts w:ascii="Times New Roman" w:hAnsi="Times New Roman" w:cs="Times New Roman"/>
          <w:lang w:val="lv-LV"/>
        </w:rPr>
        <w:t xml:space="preserve"> </w:t>
      </w:r>
      <w:r w:rsidRPr="004E319A">
        <w:rPr>
          <w:rFonts w:ascii="Times New Roman" w:hAnsi="Times New Roman" w:cs="Times New Roman"/>
          <w:lang w:val="lv-LV"/>
        </w:rPr>
        <w:t xml:space="preserve">Līguma </w:t>
      </w:r>
      <w:r>
        <w:rPr>
          <w:rFonts w:ascii="Times New Roman" w:hAnsi="Times New Roman" w:cs="Times New Roman"/>
          <w:lang w:val="lv-LV"/>
        </w:rPr>
        <w:t>„</w:t>
      </w:r>
      <w:r w:rsidRPr="004E319A">
        <w:rPr>
          <w:rFonts w:ascii="Times New Roman" w:hAnsi="Times New Roman" w:cs="Times New Roman"/>
          <w:lang w:val="lv-LV"/>
        </w:rPr>
        <w:t>Par vienotās veselības nozares elektroniskās informācijas sistēmas izmantošanu” 2.4.1. apakšpunkts.</w:t>
      </w:r>
    </w:p>
  </w:footnote>
  <w:footnote w:id="3">
    <w:p w14:paraId="7DA6C354" w14:textId="77777777" w:rsidR="00432099" w:rsidRPr="000C75B4" w:rsidRDefault="00432099" w:rsidP="00432099">
      <w:pPr>
        <w:pStyle w:val="FootnoteText"/>
        <w:jc w:val="both"/>
        <w:rPr>
          <w:rFonts w:ascii="Times New Roman" w:hAnsi="Times New Roman" w:cs="Times New Roman"/>
          <w:lang w:val="lv-LV"/>
        </w:rPr>
      </w:pPr>
      <w:r w:rsidRPr="004E319A">
        <w:rPr>
          <w:rStyle w:val="FootnoteReference"/>
          <w:rFonts w:ascii="Times New Roman" w:hAnsi="Times New Roman" w:cs="Times New Roman"/>
          <w:lang w:val="lv-LV"/>
        </w:rPr>
        <w:footnoteRef/>
      </w:r>
      <w:r w:rsidRPr="004E319A">
        <w:rPr>
          <w:rFonts w:ascii="Times New Roman" w:hAnsi="Times New Roman" w:cs="Times New Roman"/>
          <w:lang w:val="lv-LV"/>
        </w:rPr>
        <w:t xml:space="preserve"> </w:t>
      </w:r>
      <w:r w:rsidRPr="004E319A">
        <w:rPr>
          <w:rFonts w:ascii="Times New Roman" w:hAnsi="Times New Roman" w:cs="Times New Roman"/>
          <w:lang w:val="lv-LV"/>
        </w:rPr>
        <w:t>Noteikumu Nr.134 2.punkts</w:t>
      </w:r>
      <w:r>
        <w:rPr>
          <w:rFonts w:ascii="Times New Roman" w:hAnsi="Times New Roman" w:cs="Times New Roman"/>
          <w:lang w:val="lv-LV"/>
        </w:rPr>
        <w:t>.</w:t>
      </w:r>
    </w:p>
  </w:footnote>
  <w:footnote w:id="4">
    <w:p w14:paraId="01A06CE6" w14:textId="77777777" w:rsidR="00432099" w:rsidRPr="009C7E50" w:rsidRDefault="00432099" w:rsidP="00432099">
      <w:pPr>
        <w:pStyle w:val="FootnoteText"/>
        <w:rPr>
          <w:lang w:val="lv-LV"/>
        </w:rPr>
      </w:pPr>
      <w:r w:rsidRPr="000C75B4">
        <w:rPr>
          <w:rStyle w:val="FootnoteReference"/>
          <w:rFonts w:ascii="Times New Roman" w:hAnsi="Times New Roman" w:cs="Times New Roman"/>
          <w:lang w:val="lv-LV"/>
        </w:rPr>
        <w:footnoteRef/>
      </w:r>
      <w:r w:rsidRPr="000C75B4">
        <w:rPr>
          <w:rFonts w:ascii="Times New Roman" w:hAnsi="Times New Roman" w:cs="Times New Roman"/>
          <w:lang w:val="lv-LV"/>
        </w:rPr>
        <w:t xml:space="preserve"> </w:t>
      </w:r>
      <w:r w:rsidRPr="000C75B4">
        <w:rPr>
          <w:rFonts w:ascii="Times New Roman" w:hAnsi="Times New Roman" w:cs="Times New Roman"/>
          <w:lang w:val="lv-LV"/>
        </w:rPr>
        <w:t>Noteikumu Nr.134 3.1. un 3.2. punkts</w:t>
      </w:r>
      <w:r>
        <w:rPr>
          <w:rFonts w:ascii="Times New Roman" w:hAnsi="Times New Roman" w:cs="Times New Roman"/>
          <w:lang w:val="lv-LV"/>
        </w:rPr>
        <w:t>.</w:t>
      </w:r>
    </w:p>
  </w:footnote>
  <w:footnote w:id="5">
    <w:p w14:paraId="027E5EF1" w14:textId="77777777" w:rsidR="00432099" w:rsidRPr="004E319A" w:rsidRDefault="00432099" w:rsidP="00432099">
      <w:pPr>
        <w:pStyle w:val="FootnoteText"/>
        <w:jc w:val="both"/>
        <w:rPr>
          <w:rFonts w:ascii="Times New Roman" w:hAnsi="Times New Roman" w:cs="Times New Roman"/>
          <w:lang w:val="lv-LV"/>
        </w:rPr>
      </w:pPr>
      <w:r w:rsidRPr="004E319A">
        <w:rPr>
          <w:rStyle w:val="FootnoteReference"/>
          <w:rFonts w:ascii="Times New Roman" w:hAnsi="Times New Roman" w:cs="Times New Roman"/>
        </w:rPr>
        <w:footnoteRef/>
      </w:r>
      <w:r w:rsidRPr="004E319A">
        <w:rPr>
          <w:rFonts w:ascii="Times New Roman" w:hAnsi="Times New Roman" w:cs="Times New Roman"/>
          <w:lang w:val="lv-LV"/>
        </w:rPr>
        <w:t xml:space="preserve"> </w:t>
      </w:r>
      <w:r w:rsidRPr="004E319A">
        <w:rPr>
          <w:rFonts w:ascii="Times New Roman" w:hAnsi="Times New Roman" w:cs="Times New Roman"/>
          <w:lang w:val="lv-LV"/>
        </w:rPr>
        <w:t xml:space="preserve">Līguma </w:t>
      </w:r>
      <w:r>
        <w:rPr>
          <w:rFonts w:ascii="Times New Roman" w:hAnsi="Times New Roman" w:cs="Times New Roman"/>
          <w:lang w:val="lv-LV"/>
        </w:rPr>
        <w:t>„P</w:t>
      </w:r>
      <w:r w:rsidRPr="00DA6756">
        <w:rPr>
          <w:rFonts w:ascii="Times New Roman" w:hAnsi="Times New Roman" w:cs="Times New Roman"/>
          <w:lang w:val="lv-LV"/>
        </w:rPr>
        <w:t>ar primārā</w:t>
      </w:r>
      <w:r>
        <w:rPr>
          <w:rFonts w:ascii="Times New Roman" w:hAnsi="Times New Roman" w:cs="Times New Roman"/>
          <w:lang w:val="lv-LV"/>
        </w:rPr>
        <w:t xml:space="preserve">s veselības aprūpes pakalpojumu </w:t>
      </w:r>
      <w:r w:rsidRPr="00DA6756">
        <w:rPr>
          <w:rFonts w:ascii="Times New Roman" w:hAnsi="Times New Roman" w:cs="Times New Roman"/>
          <w:lang w:val="lv-LV"/>
        </w:rPr>
        <w:t>sniegšanu un apmaksu</w:t>
      </w:r>
      <w:r>
        <w:rPr>
          <w:rFonts w:ascii="Times New Roman" w:hAnsi="Times New Roman" w:cs="Times New Roman"/>
          <w:lang w:val="lv-LV"/>
        </w:rPr>
        <w:t>” 5. pielikuma 5</w:t>
      </w:r>
      <w:r w:rsidRPr="004E319A">
        <w:rPr>
          <w:rFonts w:ascii="Times New Roman" w:hAnsi="Times New Roman" w:cs="Times New Roman"/>
          <w:lang w:val="lv-LV"/>
        </w:rPr>
        <w:t xml:space="preserve">.1. apakšpunkts.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7"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6"/>
  </w:num>
  <w:num w:numId="5">
    <w:abstractNumId w:val="25"/>
  </w:num>
  <w:num w:numId="6">
    <w:abstractNumId w:val="18"/>
  </w:num>
  <w:num w:numId="7">
    <w:abstractNumId w:val="23"/>
  </w:num>
  <w:num w:numId="8">
    <w:abstractNumId w:val="10"/>
  </w:num>
  <w:num w:numId="9">
    <w:abstractNumId w:val="2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0"/>
  </w:num>
  <w:num w:numId="19">
    <w:abstractNumId w:val="15"/>
  </w:num>
  <w:num w:numId="20">
    <w:abstractNumId w:val="1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
  </w:num>
  <w:num w:numId="28">
    <w:abstractNumId w:val="14"/>
  </w:num>
  <w:num w:numId="29">
    <w:abstractNumId w:val="17"/>
  </w:num>
  <w:num w:numId="30">
    <w:abstractNumId w:val="12"/>
  </w:num>
  <w:num w:numId="31">
    <w:abstractNumId w:val="30"/>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937A1"/>
    <w:rsid w:val="001E4A8F"/>
    <w:rsid w:val="00200300"/>
    <w:rsid w:val="0020798F"/>
    <w:rsid w:val="00235B55"/>
    <w:rsid w:val="002A28D5"/>
    <w:rsid w:val="002A78D1"/>
    <w:rsid w:val="002B79E1"/>
    <w:rsid w:val="002C35F4"/>
    <w:rsid w:val="003330A9"/>
    <w:rsid w:val="003562AB"/>
    <w:rsid w:val="003E3B83"/>
    <w:rsid w:val="00416FA7"/>
    <w:rsid w:val="00432099"/>
    <w:rsid w:val="004347A9"/>
    <w:rsid w:val="00443DA9"/>
    <w:rsid w:val="004E2EB3"/>
    <w:rsid w:val="005433A7"/>
    <w:rsid w:val="00574CB8"/>
    <w:rsid w:val="005D303E"/>
    <w:rsid w:val="005E1357"/>
    <w:rsid w:val="00650EC2"/>
    <w:rsid w:val="006721D1"/>
    <w:rsid w:val="00674B5A"/>
    <w:rsid w:val="006C1832"/>
    <w:rsid w:val="006E1BC3"/>
    <w:rsid w:val="006F0546"/>
    <w:rsid w:val="006F60DD"/>
    <w:rsid w:val="00706C7B"/>
    <w:rsid w:val="007E6578"/>
    <w:rsid w:val="008F27F4"/>
    <w:rsid w:val="009120DD"/>
    <w:rsid w:val="00923F48"/>
    <w:rsid w:val="009433A3"/>
    <w:rsid w:val="00966793"/>
    <w:rsid w:val="009D6094"/>
    <w:rsid w:val="00A12D67"/>
    <w:rsid w:val="00A80153"/>
    <w:rsid w:val="00A80200"/>
    <w:rsid w:val="00AE4F9D"/>
    <w:rsid w:val="00AF6417"/>
    <w:rsid w:val="00B33DF3"/>
    <w:rsid w:val="00B40BBD"/>
    <w:rsid w:val="00BA052E"/>
    <w:rsid w:val="00BF4208"/>
    <w:rsid w:val="00CF744E"/>
    <w:rsid w:val="00D112B0"/>
    <w:rsid w:val="00D459AA"/>
    <w:rsid w:val="00D61774"/>
    <w:rsid w:val="00DA151C"/>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seliba.gov.lv/" TargetMode="External"/><Relationship Id="rId3" Type="http://schemas.openxmlformats.org/officeDocument/2006/relationships/settings" Target="settings.xml"/><Relationship Id="rId7" Type="http://schemas.openxmlformats.org/officeDocument/2006/relationships/hyperlink" Target="https://www.vmnvd.gov.lv/lv/macibu-un-informativie-material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G:\work\u_008_bridinajuma_vestule_preda\atbalsts@eveseliba.gov.lv" TargetMode="External"/><Relationship Id="rId4" Type="http://schemas.openxmlformats.org/officeDocument/2006/relationships/webSettings" Target="webSettings.xml"/><Relationship Id="rId9" Type="http://schemas.openxmlformats.org/officeDocument/2006/relationships/hyperlink" Target="https://eveseliba.gov.lv/sakums/m%C4%81c%C4%ABbu-materi%C4%81li/veselibas-aprupes-profesionaliem/macibu-instrukcijas-(pdf)/preda-regis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3233</Words>
  <Characters>1844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2021-11-26T08:25:00Z</dcterms:created>
  <dcterms:modified xsi:type="dcterms:W3CDTF">2021-11-26T08:25:00Z</dcterms:modified>
</cp:coreProperties>
</file>