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28FE" w14:textId="44C5C90A" w:rsidR="00F44C3E" w:rsidRDefault="00F44C3E" w:rsidP="00F44C3E">
      <w:pPr>
        <w:spacing w:after="0" w:line="240" w:lineRule="auto"/>
        <w:jc w:val="right"/>
        <w:rPr>
          <w:rFonts w:ascii="Times New Roman" w:hAnsi="Times New Roman" w:cs="Times New Roman"/>
          <w:sz w:val="24"/>
          <w:szCs w:val="24"/>
        </w:rPr>
      </w:pPr>
      <w:r>
        <w:rPr>
          <w:rFonts w:ascii="Times New Roman" w:eastAsia="Times New Roman" w:hAnsi="Times New Roman" w:cs="Times New Roman"/>
          <w:i/>
          <w:sz w:val="24"/>
          <w:szCs w:val="24"/>
          <w:lang w:bidi="en-US"/>
        </w:rPr>
        <w:t>6.1.2</w:t>
      </w:r>
      <w:r>
        <w:rPr>
          <w:rFonts w:ascii="Times New Roman" w:eastAsia="Times New Roman" w:hAnsi="Times New Roman" w:cs="Times New Roman"/>
          <w:i/>
          <w:sz w:val="24"/>
          <w:szCs w:val="24"/>
          <w:lang w:bidi="en-US"/>
        </w:rPr>
        <w:t>3</w:t>
      </w:r>
      <w:r>
        <w:rPr>
          <w:rFonts w:ascii="Times New Roman" w:eastAsia="Times New Roman" w:hAnsi="Times New Roman" w:cs="Times New Roman"/>
          <w:i/>
          <w:sz w:val="24"/>
          <w:szCs w:val="24"/>
          <w:lang w:bidi="en-US"/>
        </w:rPr>
        <w:t>. punkts</w:t>
      </w:r>
    </w:p>
    <w:p w14:paraId="3EF866A6" w14:textId="77777777" w:rsidR="00F44C3E" w:rsidRDefault="00F44C3E" w:rsidP="00F44C3E">
      <w:pPr>
        <w:spacing w:after="0" w:line="240" w:lineRule="auto"/>
        <w:jc w:val="right"/>
        <w:rPr>
          <w:rFonts w:ascii="Times New Roman" w:eastAsia="Times New Roman" w:hAnsi="Times New Roman" w:cs="Times New Roman"/>
          <w:i/>
          <w:sz w:val="24"/>
          <w:szCs w:val="24"/>
          <w:lang w:bidi="en-US"/>
        </w:rPr>
      </w:pPr>
      <w:bookmarkStart w:id="0" w:name="_Hlk85461767"/>
      <w:r>
        <w:rPr>
          <w:rFonts w:ascii="Times New Roman" w:eastAsia="Times New Roman" w:hAnsi="Times New Roman" w:cs="Times New Roman"/>
          <w:i/>
          <w:sz w:val="24"/>
          <w:szCs w:val="24"/>
          <w:lang w:bidi="en-US"/>
        </w:rPr>
        <w:t xml:space="preserve">līgumam par primārās veselības aprūpes </w:t>
      </w:r>
    </w:p>
    <w:p w14:paraId="5A86C7FE" w14:textId="77777777" w:rsidR="00F44C3E" w:rsidRDefault="00F44C3E" w:rsidP="00F44C3E">
      <w:pPr>
        <w:spacing w:after="0" w:line="240" w:lineRule="auto"/>
        <w:jc w:val="right"/>
        <w:rPr>
          <w:rFonts w:ascii="Times New Roman" w:eastAsia="Times New Roman" w:hAnsi="Times New Roman" w:cs="Times New Roman"/>
          <w:i/>
          <w:sz w:val="24"/>
          <w:szCs w:val="24"/>
          <w:lang w:bidi="en-US"/>
        </w:rPr>
      </w:pPr>
      <w:r>
        <w:rPr>
          <w:rFonts w:ascii="Times New Roman" w:eastAsia="Times New Roman" w:hAnsi="Times New Roman" w:cs="Times New Roman"/>
          <w:i/>
          <w:sz w:val="24"/>
          <w:szCs w:val="24"/>
          <w:lang w:bidi="en-US"/>
        </w:rPr>
        <w:t>pakalpojumu sniegšanu un apmaksu</w:t>
      </w:r>
      <w:bookmarkEnd w:id="0"/>
    </w:p>
    <w:p w14:paraId="75079052" w14:textId="77777777" w:rsidR="00F44C3E" w:rsidRDefault="00F44C3E" w:rsidP="00F44C3E">
      <w:pPr>
        <w:jc w:val="right"/>
        <w:rPr>
          <w:rFonts w:ascii="Times New Roman" w:hAnsi="Times New Roman" w:cs="Times New Roman"/>
          <w:b/>
          <w:bCs/>
          <w:sz w:val="24"/>
          <w:szCs w:val="24"/>
        </w:rPr>
      </w:pPr>
    </w:p>
    <w:p w14:paraId="1AF5624E" w14:textId="2C0C7595" w:rsidR="00387859" w:rsidRPr="002F5A2C" w:rsidRDefault="00387859" w:rsidP="00387859">
      <w:pPr>
        <w:jc w:val="center"/>
        <w:rPr>
          <w:rFonts w:ascii="Times New Roman" w:hAnsi="Times New Roman" w:cs="Times New Roman"/>
          <w:sz w:val="24"/>
          <w:szCs w:val="24"/>
        </w:rPr>
      </w:pPr>
      <w:r>
        <w:rPr>
          <w:rFonts w:ascii="Times New Roman" w:hAnsi="Times New Roman" w:cs="Times New Roman"/>
          <w:b/>
          <w:bCs/>
          <w:sz w:val="24"/>
          <w:szCs w:val="24"/>
        </w:rPr>
        <w:t>R</w:t>
      </w:r>
      <w:r w:rsidRPr="002F5A2C">
        <w:rPr>
          <w:rFonts w:ascii="Times New Roman" w:hAnsi="Times New Roman" w:cs="Times New Roman"/>
          <w:b/>
          <w:bCs/>
          <w:sz w:val="24"/>
          <w:szCs w:val="24"/>
        </w:rPr>
        <w:t>ekomendācijas par vakcinācijas pret Covid-19 organizēšanu pacientiem noteiktu slimību gadījumos</w:t>
      </w:r>
    </w:p>
    <w:tbl>
      <w:tblPr>
        <w:tblStyle w:val="TableGrid"/>
        <w:tblW w:w="0" w:type="auto"/>
        <w:tblLayout w:type="fixed"/>
        <w:tblLook w:val="04A0" w:firstRow="1" w:lastRow="0" w:firstColumn="1" w:lastColumn="0" w:noHBand="0" w:noVBand="1"/>
      </w:tblPr>
      <w:tblGrid>
        <w:gridCol w:w="846"/>
        <w:gridCol w:w="2247"/>
        <w:gridCol w:w="5923"/>
      </w:tblGrid>
      <w:tr w:rsidR="00E97D32" w:rsidRPr="00054634" w14:paraId="48C2D5B4" w14:textId="77777777" w:rsidTr="00172158">
        <w:tc>
          <w:tcPr>
            <w:tcW w:w="846" w:type="dxa"/>
            <w:shd w:val="clear" w:color="auto" w:fill="E7E6E6" w:themeFill="background2"/>
            <w:vAlign w:val="center"/>
          </w:tcPr>
          <w:p w14:paraId="746B0BC0" w14:textId="77777777" w:rsidR="00E97D32" w:rsidRPr="00054634" w:rsidRDefault="00E97D32" w:rsidP="00172158">
            <w:pPr>
              <w:jc w:val="center"/>
              <w:rPr>
                <w:rFonts w:ascii="Times New Roman" w:hAnsi="Times New Roman" w:cs="Times New Roman"/>
                <w:b/>
                <w:bCs/>
                <w:sz w:val="24"/>
                <w:szCs w:val="24"/>
              </w:rPr>
            </w:pPr>
            <w:r w:rsidRPr="00054634">
              <w:rPr>
                <w:rFonts w:ascii="Times New Roman" w:hAnsi="Times New Roman" w:cs="Times New Roman"/>
                <w:b/>
                <w:bCs/>
                <w:sz w:val="24"/>
                <w:szCs w:val="24"/>
              </w:rPr>
              <w:t>Nr. p.k.</w:t>
            </w:r>
          </w:p>
        </w:tc>
        <w:tc>
          <w:tcPr>
            <w:tcW w:w="2247" w:type="dxa"/>
            <w:shd w:val="clear" w:color="auto" w:fill="E7E6E6" w:themeFill="background2"/>
            <w:vAlign w:val="center"/>
          </w:tcPr>
          <w:p w14:paraId="49AEAA0E" w14:textId="77777777" w:rsidR="00E97D32" w:rsidRPr="00054634" w:rsidRDefault="00E97D32" w:rsidP="00172158">
            <w:pPr>
              <w:jc w:val="center"/>
              <w:rPr>
                <w:rFonts w:ascii="Times New Roman" w:hAnsi="Times New Roman" w:cs="Times New Roman"/>
                <w:b/>
                <w:bCs/>
                <w:sz w:val="24"/>
                <w:szCs w:val="24"/>
              </w:rPr>
            </w:pPr>
            <w:r w:rsidRPr="00054634">
              <w:rPr>
                <w:rFonts w:ascii="Times New Roman" w:hAnsi="Times New Roman" w:cs="Times New Roman"/>
                <w:b/>
                <w:bCs/>
                <w:sz w:val="24"/>
                <w:szCs w:val="24"/>
              </w:rPr>
              <w:t>Pacientu grupa</w:t>
            </w:r>
          </w:p>
        </w:tc>
        <w:tc>
          <w:tcPr>
            <w:tcW w:w="5923" w:type="dxa"/>
            <w:shd w:val="clear" w:color="auto" w:fill="E7E6E6" w:themeFill="background2"/>
            <w:vAlign w:val="center"/>
          </w:tcPr>
          <w:p w14:paraId="4CBEA4BD" w14:textId="77777777" w:rsidR="00E97D32" w:rsidRPr="00054634" w:rsidRDefault="00E97D32" w:rsidP="00172158">
            <w:pPr>
              <w:jc w:val="center"/>
              <w:rPr>
                <w:rFonts w:ascii="Times New Roman" w:hAnsi="Times New Roman" w:cs="Times New Roman"/>
                <w:b/>
                <w:bCs/>
                <w:sz w:val="24"/>
                <w:szCs w:val="24"/>
              </w:rPr>
            </w:pPr>
            <w:r w:rsidRPr="00054634">
              <w:rPr>
                <w:rFonts w:ascii="Times New Roman" w:hAnsi="Times New Roman" w:cs="Times New Roman"/>
                <w:b/>
                <w:bCs/>
                <w:sz w:val="24"/>
                <w:szCs w:val="24"/>
              </w:rPr>
              <w:t>Indikācijas, rīcība</w:t>
            </w:r>
          </w:p>
        </w:tc>
      </w:tr>
      <w:tr w:rsidR="00E97D32" w:rsidRPr="00054634" w14:paraId="0457B1F9" w14:textId="77777777" w:rsidTr="00172158">
        <w:tc>
          <w:tcPr>
            <w:tcW w:w="846" w:type="dxa"/>
            <w:vAlign w:val="center"/>
          </w:tcPr>
          <w:p w14:paraId="758D3B92"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1.</w:t>
            </w:r>
          </w:p>
        </w:tc>
        <w:tc>
          <w:tcPr>
            <w:tcW w:w="2247" w:type="dxa"/>
            <w:vAlign w:val="center"/>
          </w:tcPr>
          <w:p w14:paraId="4633406E"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Pacientiem ar onkoloģiskām un hematoloģiskām slimībām</w:t>
            </w:r>
          </w:p>
        </w:tc>
        <w:tc>
          <w:tcPr>
            <w:tcW w:w="5923" w:type="dxa"/>
          </w:tcPr>
          <w:p w14:paraId="49B393C2" w14:textId="01BD37CD" w:rsidR="004D05C6" w:rsidRPr="00054634" w:rsidRDefault="004D05C6" w:rsidP="002E54F1">
            <w:pPr>
              <w:pStyle w:val="ListParagraph"/>
              <w:numPr>
                <w:ilvl w:val="1"/>
                <w:numId w:val="39"/>
              </w:numPr>
              <w:spacing w:line="252" w:lineRule="auto"/>
              <w:ind w:left="339" w:hanging="425"/>
              <w:jc w:val="both"/>
              <w:rPr>
                <w:rFonts w:ascii="Times New Roman" w:hAnsi="Times New Roman" w:cs="Times New Roman"/>
                <w:sz w:val="24"/>
                <w:szCs w:val="24"/>
              </w:rPr>
            </w:pPr>
            <w:r w:rsidRPr="00054634">
              <w:rPr>
                <w:rFonts w:ascii="Times New Roman" w:hAnsi="Times New Roman" w:cs="Times New Roman"/>
                <w:sz w:val="24"/>
                <w:szCs w:val="24"/>
              </w:rPr>
              <w:t>Visiem slimniekiem ar onkoloģiskajām un hematoloģiskajām slimībām vakcinācija tiek rekomendēta. Vakcinācija būtu jāveic pirms ķīmijterapijas</w:t>
            </w:r>
            <w:r w:rsidR="00387859">
              <w:rPr>
                <w:rFonts w:ascii="Times New Roman" w:hAnsi="Times New Roman" w:cs="Times New Roman"/>
                <w:sz w:val="24"/>
                <w:szCs w:val="24"/>
              </w:rPr>
              <w:t>,</w:t>
            </w:r>
            <w:r w:rsidRPr="00054634">
              <w:rPr>
                <w:rFonts w:ascii="Times New Roman" w:hAnsi="Times New Roman" w:cs="Times New Roman"/>
                <w:sz w:val="24"/>
                <w:szCs w:val="24"/>
              </w:rPr>
              <w:t xml:space="preserve"> </w:t>
            </w:r>
            <w:proofErr w:type="spellStart"/>
            <w:r w:rsidRPr="00054634">
              <w:rPr>
                <w:rFonts w:ascii="Times New Roman" w:hAnsi="Times New Roman" w:cs="Times New Roman"/>
                <w:sz w:val="24"/>
                <w:szCs w:val="24"/>
              </w:rPr>
              <w:t>imūnķīmijterapijas</w:t>
            </w:r>
            <w:proofErr w:type="spellEnd"/>
            <w:r w:rsidRPr="00054634">
              <w:rPr>
                <w:rFonts w:ascii="Times New Roman" w:hAnsi="Times New Roman" w:cs="Times New Roman"/>
                <w:sz w:val="24"/>
                <w:szCs w:val="24"/>
              </w:rPr>
              <w:t>, vai vienlaicīgas ķīmijterapijas un staru terapijas uzsākšanas, ja to atļauj klīniskā situācija, un audzēja progresijas ātrums.</w:t>
            </w:r>
            <w:r w:rsidR="002E54F1" w:rsidRPr="00054634">
              <w:rPr>
                <w:rFonts w:ascii="Times New Roman" w:hAnsi="Times New Roman" w:cs="Times New Roman"/>
                <w:sz w:val="24"/>
                <w:szCs w:val="24"/>
              </w:rPr>
              <w:t xml:space="preserve"> </w:t>
            </w:r>
            <w:r w:rsidRPr="00054634">
              <w:rPr>
                <w:rFonts w:ascii="Times New Roman" w:hAnsi="Times New Roman" w:cs="Times New Roman"/>
                <w:sz w:val="24"/>
                <w:szCs w:val="24"/>
              </w:rPr>
              <w:t>Onkoloģiskajiem slimniekiem, kuri šobrīd saņem ķīmijterapiju vai vienlaicīgu ķīmijterapiju un staru terapiju, vakcinācija jāveic aktīvas terapijas starplaikos, atliekot to līdz absolūto neitrofilo leikocītu skait</w:t>
            </w:r>
            <w:r w:rsidR="002E54F1" w:rsidRPr="00054634">
              <w:rPr>
                <w:rFonts w:ascii="Times New Roman" w:hAnsi="Times New Roman" w:cs="Times New Roman"/>
                <w:sz w:val="24"/>
                <w:szCs w:val="24"/>
              </w:rPr>
              <w:t>a</w:t>
            </w:r>
            <w:r w:rsidRPr="00054634">
              <w:rPr>
                <w:rFonts w:ascii="Times New Roman" w:hAnsi="Times New Roman" w:cs="Times New Roman"/>
                <w:sz w:val="24"/>
                <w:szCs w:val="24"/>
              </w:rPr>
              <w:t xml:space="preserve">  normalizācijai.</w:t>
            </w:r>
          </w:p>
          <w:p w14:paraId="09385677" w14:textId="77777777" w:rsidR="004D05C6" w:rsidRPr="00054634" w:rsidRDefault="004D05C6" w:rsidP="004D05C6">
            <w:pPr>
              <w:pStyle w:val="ListParagraph"/>
              <w:numPr>
                <w:ilvl w:val="1"/>
                <w:numId w:val="39"/>
              </w:numPr>
              <w:spacing w:line="252" w:lineRule="auto"/>
              <w:ind w:left="339" w:hanging="425"/>
              <w:jc w:val="both"/>
              <w:rPr>
                <w:rFonts w:ascii="Times New Roman" w:hAnsi="Times New Roman" w:cs="Times New Roman"/>
                <w:sz w:val="24"/>
                <w:szCs w:val="24"/>
              </w:rPr>
            </w:pPr>
            <w:r w:rsidRPr="00054634">
              <w:rPr>
                <w:rFonts w:ascii="Times New Roman" w:hAnsi="Times New Roman" w:cs="Times New Roman"/>
                <w:sz w:val="24"/>
                <w:szCs w:val="24"/>
              </w:rPr>
              <w:t>Hematoloģiskajiem slimniekiem vakcinācija var atlikt, par to lemjot individuāli, ja</w:t>
            </w:r>
          </w:p>
          <w:p w14:paraId="5159D6AA" w14:textId="17B28EA5" w:rsidR="004D05C6" w:rsidRPr="00054634" w:rsidRDefault="00387859" w:rsidP="004D05C6">
            <w:pPr>
              <w:pStyle w:val="ListParagraph"/>
              <w:numPr>
                <w:ilvl w:val="2"/>
                <w:numId w:val="39"/>
              </w:numPr>
              <w:spacing w:line="252" w:lineRule="auto"/>
              <w:ind w:left="1048" w:hanging="709"/>
              <w:jc w:val="both"/>
              <w:rPr>
                <w:rFonts w:ascii="Times New Roman" w:hAnsi="Times New Roman" w:cs="Times New Roman"/>
                <w:sz w:val="24"/>
                <w:szCs w:val="24"/>
              </w:rPr>
            </w:pPr>
            <w:r>
              <w:rPr>
                <w:rFonts w:ascii="Times New Roman" w:hAnsi="Times New Roman" w:cs="Times New Roman"/>
                <w:sz w:val="24"/>
                <w:szCs w:val="24"/>
              </w:rPr>
              <w:t>k</w:t>
            </w:r>
            <w:r w:rsidR="004D05C6" w:rsidRPr="00054634">
              <w:rPr>
                <w:rFonts w:ascii="Times New Roman" w:hAnsi="Times New Roman" w:cs="Times New Roman"/>
                <w:sz w:val="24"/>
                <w:szCs w:val="24"/>
              </w:rPr>
              <w:t>līniskā situācija un hematoloģiskās slimības progresēšanas ātrums prasa uzsākt terapiju  nekavējoties (piemēram, akūtas leikozes)</w:t>
            </w:r>
            <w:r>
              <w:rPr>
                <w:rFonts w:ascii="Times New Roman" w:hAnsi="Times New Roman" w:cs="Times New Roman"/>
                <w:sz w:val="24"/>
                <w:szCs w:val="24"/>
              </w:rPr>
              <w:t>;</w:t>
            </w:r>
          </w:p>
          <w:p w14:paraId="7E8D23E0" w14:textId="0F59D89F" w:rsidR="004D05C6" w:rsidRPr="00054634" w:rsidRDefault="00387859" w:rsidP="004D05C6">
            <w:pPr>
              <w:pStyle w:val="ListParagraph"/>
              <w:numPr>
                <w:ilvl w:val="2"/>
                <w:numId w:val="39"/>
              </w:numPr>
              <w:spacing w:line="252" w:lineRule="auto"/>
              <w:ind w:left="1048" w:hanging="709"/>
              <w:jc w:val="both"/>
              <w:rPr>
                <w:rFonts w:ascii="Times New Roman" w:hAnsi="Times New Roman" w:cs="Times New Roman"/>
                <w:sz w:val="24"/>
                <w:szCs w:val="24"/>
              </w:rPr>
            </w:pPr>
            <w:r>
              <w:rPr>
                <w:rFonts w:ascii="Times New Roman" w:hAnsi="Times New Roman" w:cs="Times New Roman"/>
                <w:sz w:val="24"/>
                <w:szCs w:val="24"/>
              </w:rPr>
              <w:t>s</w:t>
            </w:r>
            <w:r w:rsidR="004D05C6" w:rsidRPr="00054634">
              <w:rPr>
                <w:rFonts w:ascii="Times New Roman" w:hAnsi="Times New Roman" w:cs="Times New Roman"/>
                <w:sz w:val="24"/>
                <w:szCs w:val="24"/>
              </w:rPr>
              <w:t xml:space="preserve">limnieks šobrīd saņem intensīvu ķīmijterapiju vai </w:t>
            </w:r>
            <w:proofErr w:type="spellStart"/>
            <w:r w:rsidR="004D05C6" w:rsidRPr="00054634">
              <w:rPr>
                <w:rFonts w:ascii="Times New Roman" w:hAnsi="Times New Roman" w:cs="Times New Roman"/>
                <w:sz w:val="24"/>
                <w:szCs w:val="24"/>
              </w:rPr>
              <w:t>imūnķīmijterapiju</w:t>
            </w:r>
            <w:proofErr w:type="spellEnd"/>
            <w:r>
              <w:rPr>
                <w:rFonts w:ascii="Times New Roman" w:hAnsi="Times New Roman" w:cs="Times New Roman"/>
                <w:sz w:val="24"/>
                <w:szCs w:val="24"/>
              </w:rPr>
              <w:t>;</w:t>
            </w:r>
          </w:p>
          <w:p w14:paraId="07A64CB4" w14:textId="1FE4C36D" w:rsidR="004D05C6" w:rsidRPr="00054634" w:rsidRDefault="00387859" w:rsidP="004D05C6">
            <w:pPr>
              <w:pStyle w:val="ListParagraph"/>
              <w:numPr>
                <w:ilvl w:val="2"/>
                <w:numId w:val="39"/>
              </w:numPr>
              <w:spacing w:line="252" w:lineRule="auto"/>
              <w:ind w:left="1048" w:hanging="709"/>
              <w:jc w:val="both"/>
              <w:rPr>
                <w:rFonts w:ascii="Times New Roman" w:hAnsi="Times New Roman" w:cs="Times New Roman"/>
                <w:sz w:val="24"/>
                <w:szCs w:val="24"/>
              </w:rPr>
            </w:pPr>
            <w:r>
              <w:rPr>
                <w:rFonts w:ascii="Times New Roman" w:hAnsi="Times New Roman" w:cs="Times New Roman"/>
                <w:sz w:val="24"/>
                <w:szCs w:val="24"/>
              </w:rPr>
              <w:t>p</w:t>
            </w:r>
            <w:r w:rsidR="004D05C6" w:rsidRPr="00054634">
              <w:rPr>
                <w:rFonts w:ascii="Times New Roman" w:hAnsi="Times New Roman" w:cs="Times New Roman"/>
                <w:sz w:val="24"/>
                <w:szCs w:val="24"/>
              </w:rPr>
              <w:t>ēc cilmes šūnu transplantācijas un citām šūnu terapijām</w:t>
            </w:r>
            <w:r>
              <w:rPr>
                <w:rFonts w:ascii="Times New Roman" w:hAnsi="Times New Roman" w:cs="Times New Roman"/>
                <w:sz w:val="24"/>
                <w:szCs w:val="24"/>
              </w:rPr>
              <w:t>;</w:t>
            </w:r>
          </w:p>
          <w:p w14:paraId="4DD1CAA3" w14:textId="755225AB" w:rsidR="00E97D32" w:rsidRPr="00054634" w:rsidRDefault="00387859" w:rsidP="004D05C6">
            <w:pPr>
              <w:pStyle w:val="ListParagraph"/>
              <w:numPr>
                <w:ilvl w:val="2"/>
                <w:numId w:val="39"/>
              </w:numPr>
              <w:spacing w:line="252" w:lineRule="auto"/>
              <w:ind w:left="1048" w:hanging="709"/>
              <w:jc w:val="both"/>
              <w:rPr>
                <w:rFonts w:ascii="Times New Roman" w:hAnsi="Times New Roman" w:cs="Times New Roman"/>
                <w:sz w:val="24"/>
                <w:szCs w:val="24"/>
              </w:rPr>
            </w:pPr>
            <w:r>
              <w:rPr>
                <w:rFonts w:ascii="Times New Roman" w:hAnsi="Times New Roman" w:cs="Times New Roman"/>
                <w:sz w:val="24"/>
                <w:szCs w:val="24"/>
              </w:rPr>
              <w:t>s</w:t>
            </w:r>
            <w:r w:rsidR="004D05C6" w:rsidRPr="00054634">
              <w:rPr>
                <w:rFonts w:ascii="Times New Roman" w:hAnsi="Times New Roman" w:cs="Times New Roman"/>
                <w:sz w:val="24"/>
                <w:szCs w:val="24"/>
              </w:rPr>
              <w:t xml:space="preserve">limnieks šobrīd saņem terapiju ar </w:t>
            </w:r>
            <w:proofErr w:type="spellStart"/>
            <w:r w:rsidR="004D05C6" w:rsidRPr="00054634">
              <w:rPr>
                <w:rFonts w:ascii="Times New Roman" w:hAnsi="Times New Roman" w:cs="Times New Roman"/>
                <w:sz w:val="24"/>
                <w:szCs w:val="24"/>
              </w:rPr>
              <w:t>antilimfocitāro</w:t>
            </w:r>
            <w:proofErr w:type="spellEnd"/>
            <w:r w:rsidR="004D05C6" w:rsidRPr="00054634">
              <w:rPr>
                <w:rFonts w:ascii="Times New Roman" w:hAnsi="Times New Roman" w:cs="Times New Roman"/>
                <w:sz w:val="24"/>
                <w:szCs w:val="24"/>
              </w:rPr>
              <w:t xml:space="preserve"> globulīnu</w:t>
            </w:r>
            <w:r>
              <w:rPr>
                <w:rFonts w:ascii="Times New Roman" w:hAnsi="Times New Roman" w:cs="Times New Roman"/>
                <w:sz w:val="24"/>
                <w:szCs w:val="24"/>
              </w:rPr>
              <w:t>.</w:t>
            </w:r>
          </w:p>
        </w:tc>
      </w:tr>
      <w:tr w:rsidR="00E97D32" w:rsidRPr="00054634" w14:paraId="3C043264" w14:textId="77777777" w:rsidTr="00A54522">
        <w:tc>
          <w:tcPr>
            <w:tcW w:w="846" w:type="dxa"/>
            <w:vAlign w:val="center"/>
          </w:tcPr>
          <w:p w14:paraId="3353605E" w14:textId="0BCF8BDE" w:rsidR="00E97D32" w:rsidRPr="00054634" w:rsidRDefault="00E97D32" w:rsidP="00A54522">
            <w:pPr>
              <w:jc w:val="center"/>
              <w:rPr>
                <w:rFonts w:ascii="Times New Roman" w:hAnsi="Times New Roman" w:cs="Times New Roman"/>
                <w:sz w:val="24"/>
                <w:szCs w:val="24"/>
              </w:rPr>
            </w:pPr>
            <w:r w:rsidRPr="00054634">
              <w:rPr>
                <w:rFonts w:ascii="Times New Roman" w:hAnsi="Times New Roman" w:cs="Times New Roman"/>
                <w:sz w:val="24"/>
                <w:szCs w:val="24"/>
              </w:rPr>
              <w:t>2.</w:t>
            </w:r>
          </w:p>
        </w:tc>
        <w:tc>
          <w:tcPr>
            <w:tcW w:w="2247" w:type="dxa"/>
            <w:vAlign w:val="center"/>
          </w:tcPr>
          <w:p w14:paraId="20A4D7DB" w14:textId="77777777" w:rsidR="00E97D32" w:rsidRPr="00054634" w:rsidRDefault="00E97D32" w:rsidP="00A54522">
            <w:pPr>
              <w:jc w:val="center"/>
              <w:rPr>
                <w:rFonts w:ascii="Times New Roman" w:hAnsi="Times New Roman" w:cs="Times New Roman"/>
                <w:sz w:val="24"/>
                <w:szCs w:val="24"/>
              </w:rPr>
            </w:pPr>
            <w:r w:rsidRPr="00054634">
              <w:rPr>
                <w:rFonts w:ascii="Times New Roman" w:hAnsi="Times New Roman" w:cs="Times New Roman"/>
                <w:sz w:val="24"/>
                <w:szCs w:val="24"/>
              </w:rPr>
              <w:t>Pacientiem ar trombocitopēnijām, īpaši imūnām trombocitopēnijām (ITP)</w:t>
            </w:r>
          </w:p>
        </w:tc>
        <w:tc>
          <w:tcPr>
            <w:tcW w:w="5923" w:type="dxa"/>
          </w:tcPr>
          <w:p w14:paraId="5FBBC277" w14:textId="1B333B97" w:rsidR="00E97D32" w:rsidRPr="00054634" w:rsidRDefault="00E97D32" w:rsidP="004D05C6">
            <w:pPr>
              <w:pStyle w:val="ListParagraph"/>
              <w:numPr>
                <w:ilvl w:val="1"/>
                <w:numId w:val="25"/>
              </w:numPr>
              <w:ind w:left="481" w:hanging="481"/>
              <w:jc w:val="both"/>
              <w:rPr>
                <w:rFonts w:ascii="Times New Roman" w:hAnsi="Times New Roman" w:cs="Times New Roman"/>
                <w:sz w:val="24"/>
                <w:szCs w:val="24"/>
              </w:rPr>
            </w:pPr>
            <w:r w:rsidRPr="00054634">
              <w:rPr>
                <w:rFonts w:ascii="Times New Roman" w:hAnsi="Times New Roman" w:cs="Times New Roman"/>
                <w:sz w:val="24"/>
                <w:szCs w:val="24"/>
              </w:rPr>
              <w:t>Pacientiem ITP diagnozi</w:t>
            </w:r>
            <w:r w:rsidR="00292309" w:rsidRPr="00054634">
              <w:rPr>
                <w:rFonts w:ascii="Times New Roman" w:hAnsi="Times New Roman" w:cs="Times New Roman"/>
                <w:sz w:val="24"/>
                <w:szCs w:val="24"/>
              </w:rPr>
              <w:t xml:space="preserve">, kuriem </w:t>
            </w:r>
            <w:r w:rsidR="006F6A0C" w:rsidRPr="00054634">
              <w:rPr>
                <w:rFonts w:ascii="Times New Roman" w:hAnsi="Times New Roman" w:cs="Times New Roman"/>
                <w:sz w:val="24"/>
                <w:szCs w:val="24"/>
              </w:rPr>
              <w:t>aktuālais trombocītu skaits</w:t>
            </w:r>
            <w:r w:rsidRPr="00054634">
              <w:rPr>
                <w:rFonts w:ascii="Times New Roman" w:hAnsi="Times New Roman" w:cs="Times New Roman"/>
                <w:sz w:val="24"/>
                <w:szCs w:val="24"/>
              </w:rPr>
              <w:t xml:space="preserve"> &lt; 30 x10</w:t>
            </w:r>
            <w:r w:rsidRPr="00054634">
              <w:rPr>
                <w:rFonts w:ascii="Times New Roman" w:hAnsi="Times New Roman" w:cs="Times New Roman"/>
                <w:sz w:val="24"/>
                <w:szCs w:val="24"/>
                <w:vertAlign w:val="superscript"/>
              </w:rPr>
              <w:t>9</w:t>
            </w:r>
            <w:r w:rsidRPr="00054634">
              <w:rPr>
                <w:rFonts w:ascii="Times New Roman" w:hAnsi="Times New Roman" w:cs="Times New Roman"/>
                <w:sz w:val="24"/>
                <w:szCs w:val="24"/>
              </w:rPr>
              <w:t xml:space="preserve"> /L, jāvērtē, vai pirms vakcinācijas ne</w:t>
            </w:r>
            <w:r w:rsidR="006F6A0C" w:rsidRPr="00054634">
              <w:rPr>
                <w:rFonts w:ascii="Times New Roman" w:hAnsi="Times New Roman" w:cs="Times New Roman"/>
                <w:sz w:val="24"/>
                <w:szCs w:val="24"/>
              </w:rPr>
              <w:t xml:space="preserve">pieciešama specifiska terapija. </w:t>
            </w:r>
            <w:r w:rsidRPr="00054634">
              <w:rPr>
                <w:rFonts w:ascii="Times New Roman" w:hAnsi="Times New Roman" w:cs="Times New Roman"/>
                <w:sz w:val="24"/>
                <w:szCs w:val="24"/>
              </w:rPr>
              <w:t>Konsultēties ar hematologu.</w:t>
            </w:r>
          </w:p>
          <w:p w14:paraId="1113B49A" w14:textId="448AC2BF" w:rsidR="00E97D32" w:rsidRPr="00054634" w:rsidRDefault="00292309" w:rsidP="004D05C6">
            <w:pPr>
              <w:pStyle w:val="ListParagraph"/>
              <w:numPr>
                <w:ilvl w:val="1"/>
                <w:numId w:val="25"/>
              </w:numPr>
              <w:ind w:left="481" w:hanging="481"/>
              <w:jc w:val="both"/>
              <w:rPr>
                <w:rFonts w:ascii="Times New Roman" w:hAnsi="Times New Roman" w:cs="Times New Roman"/>
                <w:sz w:val="24"/>
                <w:szCs w:val="24"/>
              </w:rPr>
            </w:pPr>
            <w:r w:rsidRPr="00054634">
              <w:rPr>
                <w:rFonts w:ascii="Times New Roman" w:hAnsi="Times New Roman" w:cs="Times New Roman"/>
                <w:sz w:val="24"/>
                <w:szCs w:val="24"/>
              </w:rPr>
              <w:t>Konsultācijas p</w:t>
            </w:r>
            <w:r w:rsidR="006F6A0C" w:rsidRPr="00054634">
              <w:rPr>
                <w:rFonts w:ascii="Times New Roman" w:hAnsi="Times New Roman" w:cs="Times New Roman"/>
                <w:sz w:val="24"/>
                <w:szCs w:val="24"/>
              </w:rPr>
              <w:t xml:space="preserve">ar </w:t>
            </w:r>
            <w:r w:rsidRPr="00054634">
              <w:rPr>
                <w:rFonts w:ascii="Times New Roman" w:hAnsi="Times New Roman" w:cs="Times New Roman"/>
                <w:sz w:val="24"/>
                <w:szCs w:val="24"/>
              </w:rPr>
              <w:t xml:space="preserve">šiem </w:t>
            </w:r>
            <w:r w:rsidR="006F6A0C" w:rsidRPr="00054634">
              <w:rPr>
                <w:rFonts w:ascii="Times New Roman" w:hAnsi="Times New Roman" w:cs="Times New Roman"/>
                <w:sz w:val="24"/>
                <w:szCs w:val="24"/>
              </w:rPr>
              <w:t>ITP pacientiem</w:t>
            </w:r>
            <w:r w:rsidRPr="00054634">
              <w:rPr>
                <w:rFonts w:ascii="Times New Roman" w:hAnsi="Times New Roman" w:cs="Times New Roman"/>
                <w:sz w:val="24"/>
                <w:szCs w:val="24"/>
              </w:rPr>
              <w:t xml:space="preserve"> pie hematologa, kas dinamiski novēro un ārstē. </w:t>
            </w:r>
            <w:r w:rsidR="00E97D32" w:rsidRPr="00054634">
              <w:rPr>
                <w:rFonts w:ascii="Times New Roman" w:hAnsi="Times New Roman" w:cs="Times New Roman"/>
                <w:sz w:val="24"/>
                <w:szCs w:val="24"/>
              </w:rPr>
              <w:t>RAKUS hematolog</w:t>
            </w:r>
            <w:r w:rsidRPr="00054634">
              <w:rPr>
                <w:rFonts w:ascii="Times New Roman" w:hAnsi="Times New Roman" w:cs="Times New Roman"/>
                <w:sz w:val="24"/>
                <w:szCs w:val="24"/>
              </w:rPr>
              <w:t xml:space="preserve">u kontakta e-pasts: </w:t>
            </w:r>
            <w:r w:rsidR="00E97D32" w:rsidRPr="00054634">
              <w:rPr>
                <w:rFonts w:ascii="Times New Roman" w:hAnsi="Times New Roman" w:cs="Times New Roman"/>
                <w:sz w:val="24"/>
                <w:szCs w:val="24"/>
              </w:rPr>
              <w:t>hematolog</w:t>
            </w:r>
            <w:r w:rsidRPr="00054634">
              <w:rPr>
                <w:rFonts w:ascii="Times New Roman" w:hAnsi="Times New Roman" w:cs="Times New Roman"/>
                <w:sz w:val="24"/>
                <w:szCs w:val="24"/>
              </w:rPr>
              <w:t>s@aslimnica.lv</w:t>
            </w:r>
          </w:p>
        </w:tc>
      </w:tr>
      <w:tr w:rsidR="00E97D32" w:rsidRPr="00054634" w14:paraId="4128D43B" w14:textId="77777777" w:rsidTr="00172158">
        <w:tc>
          <w:tcPr>
            <w:tcW w:w="846" w:type="dxa"/>
            <w:vAlign w:val="center"/>
          </w:tcPr>
          <w:p w14:paraId="080DF3E2"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3.</w:t>
            </w:r>
          </w:p>
        </w:tc>
        <w:tc>
          <w:tcPr>
            <w:tcW w:w="2247" w:type="dxa"/>
            <w:vAlign w:val="center"/>
          </w:tcPr>
          <w:p w14:paraId="1A51D881"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Pacienti ar reimatiskām saslimšanām</w:t>
            </w:r>
          </w:p>
        </w:tc>
        <w:tc>
          <w:tcPr>
            <w:tcW w:w="5923" w:type="dxa"/>
          </w:tcPr>
          <w:p w14:paraId="586DFA9F" w14:textId="77777777" w:rsidR="004D05C6" w:rsidRPr="001E3FC8" w:rsidRDefault="004D05C6" w:rsidP="004D05C6">
            <w:pPr>
              <w:pStyle w:val="ListParagraph"/>
              <w:ind w:left="481" w:hanging="481"/>
              <w:jc w:val="both"/>
              <w:rPr>
                <w:rFonts w:ascii="Times New Roman" w:hAnsi="Times New Roman" w:cs="Times New Roman"/>
                <w:color w:val="000000"/>
                <w:sz w:val="24"/>
                <w:szCs w:val="24"/>
              </w:rPr>
            </w:pPr>
            <w:r w:rsidRPr="001E3FC8">
              <w:rPr>
                <w:rFonts w:ascii="Times New Roman" w:hAnsi="Times New Roman" w:cs="Times New Roman"/>
                <w:color w:val="000000"/>
                <w:sz w:val="24"/>
                <w:szCs w:val="24"/>
              </w:rPr>
              <w:t>3.1. Autoimūnu un iekaisuma reimatisko slimību (AIRS) pacientu vakcinācija pret COVID jāveic tiklīdz tas ir iespējams atbilstoši vispārējām rekomendācijām un ārstējošā reimatologa rekomendācijām.</w:t>
            </w:r>
          </w:p>
          <w:p w14:paraId="5AC18271" w14:textId="77777777" w:rsidR="004D05C6" w:rsidRPr="001E3FC8" w:rsidRDefault="004D05C6" w:rsidP="004D05C6">
            <w:pPr>
              <w:pStyle w:val="ListParagraph"/>
              <w:ind w:left="481" w:hanging="481"/>
              <w:jc w:val="both"/>
              <w:rPr>
                <w:rFonts w:ascii="Times New Roman" w:hAnsi="Times New Roman" w:cs="Times New Roman"/>
                <w:color w:val="000000"/>
                <w:sz w:val="24"/>
                <w:szCs w:val="24"/>
              </w:rPr>
            </w:pPr>
            <w:r w:rsidRPr="001E3FC8">
              <w:rPr>
                <w:rFonts w:ascii="Times New Roman" w:hAnsi="Times New Roman" w:cs="Times New Roman"/>
                <w:color w:val="000000"/>
                <w:sz w:val="24"/>
                <w:szCs w:val="24"/>
              </w:rPr>
              <w:t>3.2. Vakcinācija atliekama mēreni līdz izteikti aktīvas AIRS periodā, ja tā lēmis ārstējošais reimatologs vai reimatologu konsīlijs, tomēr vakcināciju pret COVID jāveic tiklīdz tas ir iespējams.</w:t>
            </w:r>
          </w:p>
          <w:p w14:paraId="39A9C64A" w14:textId="7ED55347" w:rsidR="00E97D32" w:rsidRPr="00054634" w:rsidRDefault="004D05C6" w:rsidP="004D05C6">
            <w:pPr>
              <w:pStyle w:val="ListParagraph"/>
              <w:ind w:left="481" w:hanging="481"/>
              <w:jc w:val="both"/>
              <w:rPr>
                <w:rFonts w:ascii="Times New Roman" w:hAnsi="Times New Roman" w:cs="Times New Roman"/>
                <w:color w:val="000000"/>
                <w:sz w:val="24"/>
                <w:szCs w:val="24"/>
              </w:rPr>
            </w:pPr>
            <w:r w:rsidRPr="001E3FC8">
              <w:rPr>
                <w:rFonts w:ascii="Times New Roman" w:hAnsi="Times New Roman" w:cs="Times New Roman"/>
                <w:color w:val="000000"/>
                <w:sz w:val="24"/>
                <w:szCs w:val="24"/>
              </w:rPr>
              <w:lastRenderedPageBreak/>
              <w:t>3.3. Ja pacients terapijā saņem rituksimabu, tad tā ievadīšana vēlama ne ātrāk kā 4 nedēļas pēc vakcinācijas</w:t>
            </w:r>
          </w:p>
        </w:tc>
      </w:tr>
      <w:tr w:rsidR="00E97D32" w:rsidRPr="00054634" w14:paraId="76936B72" w14:textId="77777777" w:rsidTr="00172158">
        <w:tc>
          <w:tcPr>
            <w:tcW w:w="846" w:type="dxa"/>
            <w:vAlign w:val="center"/>
          </w:tcPr>
          <w:p w14:paraId="5662C2FC"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lastRenderedPageBreak/>
              <w:t>4.</w:t>
            </w:r>
          </w:p>
        </w:tc>
        <w:tc>
          <w:tcPr>
            <w:tcW w:w="2247" w:type="dxa"/>
            <w:vAlign w:val="center"/>
          </w:tcPr>
          <w:p w14:paraId="25DF1870"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Pacienti ar multiplo sklerozi</w:t>
            </w:r>
          </w:p>
        </w:tc>
        <w:tc>
          <w:tcPr>
            <w:tcW w:w="5923" w:type="dxa"/>
          </w:tcPr>
          <w:p w14:paraId="7AB940D3" w14:textId="77777777" w:rsidR="00E97D32" w:rsidRPr="00054634" w:rsidRDefault="00E97D32" w:rsidP="004D05C6">
            <w:pPr>
              <w:pStyle w:val="ListParagraph"/>
              <w:numPr>
                <w:ilvl w:val="1"/>
                <w:numId w:val="24"/>
              </w:numPr>
              <w:ind w:left="481" w:hanging="425"/>
              <w:jc w:val="both"/>
              <w:rPr>
                <w:rFonts w:ascii="Times New Roman" w:hAnsi="Times New Roman" w:cs="Times New Roman"/>
                <w:sz w:val="24"/>
                <w:szCs w:val="24"/>
              </w:rPr>
            </w:pPr>
            <w:r w:rsidRPr="00054634">
              <w:rPr>
                <w:rFonts w:ascii="Times New Roman" w:hAnsi="Times New Roman" w:cs="Times New Roman"/>
                <w:sz w:val="24"/>
                <w:szCs w:val="24"/>
              </w:rPr>
              <w:t>Veicot vakcināciju pacientiem ar multiplo sklerozi, jāņem vērā slimības forma un lietotie medikamenti, kurus saņem multiplās sklerozes pacienti (imūnmodulējošā terapija).</w:t>
            </w:r>
          </w:p>
          <w:p w14:paraId="2FF8CB13" w14:textId="04740CD1" w:rsidR="00E97D32" w:rsidRPr="00054634" w:rsidRDefault="00E97D32" w:rsidP="004D05C6">
            <w:pPr>
              <w:pStyle w:val="ListParagraph"/>
              <w:numPr>
                <w:ilvl w:val="1"/>
                <w:numId w:val="24"/>
              </w:numPr>
              <w:ind w:left="481" w:hanging="425"/>
              <w:jc w:val="both"/>
              <w:rPr>
                <w:rFonts w:ascii="Times New Roman" w:hAnsi="Times New Roman" w:cs="Times New Roman"/>
                <w:sz w:val="24"/>
                <w:szCs w:val="24"/>
              </w:rPr>
            </w:pPr>
            <w:r w:rsidRPr="00054634">
              <w:rPr>
                <w:rFonts w:ascii="Times New Roman" w:hAnsi="Times New Roman" w:cs="Times New Roman"/>
                <w:sz w:val="24"/>
                <w:szCs w:val="24"/>
              </w:rPr>
              <w:t xml:space="preserve"> Lēmumu</w:t>
            </w:r>
            <w:r w:rsidR="00054634" w:rsidRPr="00054634">
              <w:rPr>
                <w:rFonts w:ascii="Times New Roman" w:hAnsi="Times New Roman" w:cs="Times New Roman"/>
                <w:sz w:val="24"/>
                <w:szCs w:val="24"/>
              </w:rPr>
              <w:t xml:space="preserve"> par pacientu,</w:t>
            </w:r>
            <w:r w:rsidR="00054634" w:rsidRPr="00054634">
              <w:t xml:space="preserve"> </w:t>
            </w:r>
            <w:r w:rsidR="00054634" w:rsidRPr="00054634">
              <w:rPr>
                <w:rFonts w:ascii="Times New Roman" w:hAnsi="Times New Roman" w:cs="Times New Roman"/>
                <w:sz w:val="24"/>
                <w:szCs w:val="24"/>
              </w:rPr>
              <w:t xml:space="preserve">kas saņem </w:t>
            </w:r>
            <w:proofErr w:type="spellStart"/>
            <w:r w:rsidR="00054634" w:rsidRPr="00054634">
              <w:rPr>
                <w:rFonts w:ascii="Times New Roman" w:hAnsi="Times New Roman" w:cs="Times New Roman"/>
                <w:sz w:val="24"/>
                <w:szCs w:val="24"/>
              </w:rPr>
              <w:t>imūnmodulējošu</w:t>
            </w:r>
            <w:proofErr w:type="spellEnd"/>
            <w:r w:rsidR="00054634" w:rsidRPr="00054634">
              <w:rPr>
                <w:rFonts w:ascii="Times New Roman" w:hAnsi="Times New Roman" w:cs="Times New Roman"/>
                <w:sz w:val="24"/>
                <w:szCs w:val="24"/>
              </w:rPr>
              <w:t xml:space="preserve"> terapiju</w:t>
            </w:r>
            <w:r w:rsidRPr="00054634">
              <w:rPr>
                <w:rFonts w:ascii="Times New Roman" w:hAnsi="Times New Roman" w:cs="Times New Roman"/>
                <w:sz w:val="24"/>
                <w:szCs w:val="24"/>
              </w:rPr>
              <w:t xml:space="preserve"> pieņem ārstējošais ārsts neirologs.</w:t>
            </w:r>
          </w:p>
        </w:tc>
      </w:tr>
      <w:tr w:rsidR="00E97D32" w:rsidRPr="00054634" w14:paraId="562C2DBE" w14:textId="77777777" w:rsidTr="00172158">
        <w:trPr>
          <w:trHeight w:val="3291"/>
        </w:trPr>
        <w:tc>
          <w:tcPr>
            <w:tcW w:w="846" w:type="dxa"/>
            <w:vAlign w:val="center"/>
          </w:tcPr>
          <w:p w14:paraId="108DE290"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5.</w:t>
            </w:r>
          </w:p>
        </w:tc>
        <w:tc>
          <w:tcPr>
            <w:tcW w:w="2247" w:type="dxa"/>
            <w:vAlign w:val="center"/>
          </w:tcPr>
          <w:p w14:paraId="2E396264"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Pacienti orgānu transplantācijas gadījumā</w:t>
            </w:r>
          </w:p>
        </w:tc>
        <w:tc>
          <w:tcPr>
            <w:tcW w:w="5923" w:type="dxa"/>
            <w:vAlign w:val="center"/>
          </w:tcPr>
          <w:p w14:paraId="13595F1D" w14:textId="6B7C0C4D" w:rsidR="00172158" w:rsidRPr="00054634" w:rsidRDefault="00E97D32" w:rsidP="00172158">
            <w:pPr>
              <w:pStyle w:val="NormalWeb"/>
              <w:numPr>
                <w:ilvl w:val="1"/>
                <w:numId w:val="22"/>
              </w:numPr>
              <w:ind w:left="481" w:hanging="425"/>
              <w:jc w:val="both"/>
              <w:rPr>
                <w:rFonts w:ascii="Times New Roman" w:hAnsi="Times New Roman" w:cs="Times New Roman"/>
                <w:color w:val="000000"/>
                <w:sz w:val="24"/>
                <w:szCs w:val="24"/>
              </w:rPr>
            </w:pPr>
            <w:r w:rsidRPr="00054634">
              <w:rPr>
                <w:rFonts w:ascii="Times New Roman" w:hAnsi="Times New Roman" w:cs="Times New Roman"/>
                <w:color w:val="000000"/>
                <w:sz w:val="24"/>
                <w:szCs w:val="24"/>
              </w:rPr>
              <w:t>Pilns vakcinācijas kurss pēc iespējas ir jāpabeidz līdz orgāna transplantācijai (jāvakcinē pacienti, kas ir iekļauti gaidīšanas sarakstā).</w:t>
            </w:r>
            <w:r w:rsidR="00172158" w:rsidRPr="00054634">
              <w:rPr>
                <w:rFonts w:ascii="Times New Roman" w:hAnsi="Times New Roman" w:cs="Times New Roman"/>
                <w:color w:val="000000"/>
                <w:sz w:val="24"/>
                <w:szCs w:val="24"/>
              </w:rPr>
              <w:t xml:space="preserve"> </w:t>
            </w:r>
            <w:r w:rsidRPr="00054634">
              <w:rPr>
                <w:rFonts w:ascii="Times New Roman" w:hAnsi="Times New Roman" w:cs="Times New Roman"/>
                <w:sz w:val="24"/>
                <w:szCs w:val="24"/>
              </w:rPr>
              <w:t>Pieejamās SARS-Cov-2 vakcīnas ir drošas hronisko slimību gadījumos, kā arī pacientiem pēc orgānu transplantācijas. Vakcinācija nav jāatceļ arī specifiskas terapijas laikā, piemēram, hroniskas vīrushepatīta B un C infekcijas vai autoimūna hepatīta gadījumā. Orgānu transplantācijas kandidātiem, iespēju robežās, pilns vakcinācijas kurss būtu jāveic vismaz 2 nedēļas pirms transplantācijas, lai nodrošinātu adekvātu imunoloģisko atbildi.</w:t>
            </w:r>
          </w:p>
          <w:p w14:paraId="6A851105" w14:textId="77777777" w:rsidR="00172158" w:rsidRPr="00054634" w:rsidRDefault="00172158" w:rsidP="00172158">
            <w:pPr>
              <w:pStyle w:val="NormalWeb"/>
              <w:numPr>
                <w:ilvl w:val="1"/>
                <w:numId w:val="22"/>
              </w:numPr>
              <w:ind w:left="481" w:hanging="425"/>
              <w:jc w:val="both"/>
              <w:rPr>
                <w:rFonts w:ascii="Times New Roman" w:hAnsi="Times New Roman" w:cs="Times New Roman"/>
                <w:sz w:val="24"/>
                <w:szCs w:val="24"/>
              </w:rPr>
            </w:pPr>
            <w:r w:rsidRPr="00054634">
              <w:rPr>
                <w:rFonts w:ascii="Times New Roman" w:hAnsi="Times New Roman" w:cs="Times New Roman"/>
                <w:sz w:val="24"/>
                <w:szCs w:val="24"/>
              </w:rPr>
              <w:t xml:space="preserve">Ja pacientam nav veikta vakcinācija līdz transplantācijai, to var veikt ne ātrāk kā 1 mēnesi pēc transplantācijas vai ne ātrāk kā 3 mēnešus pēc transplantācijas, ja imūnsupresīvajā terapijā ir lietoti antitilimocitārais globulīns vai rituksimabs. </w:t>
            </w:r>
          </w:p>
          <w:p w14:paraId="0E161DFE" w14:textId="10F0D77E" w:rsidR="00172158" w:rsidRPr="00054634" w:rsidRDefault="00172158" w:rsidP="00172158">
            <w:pPr>
              <w:pStyle w:val="NormalWeb"/>
              <w:numPr>
                <w:ilvl w:val="1"/>
                <w:numId w:val="22"/>
              </w:numPr>
              <w:ind w:left="481" w:hanging="425"/>
              <w:jc w:val="both"/>
              <w:rPr>
                <w:rFonts w:ascii="Times New Roman" w:hAnsi="Times New Roman" w:cs="Times New Roman"/>
                <w:sz w:val="24"/>
                <w:szCs w:val="24"/>
              </w:rPr>
            </w:pPr>
            <w:r w:rsidRPr="00054634">
              <w:rPr>
                <w:rFonts w:ascii="Times New Roman" w:hAnsi="Times New Roman" w:cs="Times New Roman"/>
                <w:sz w:val="24"/>
                <w:szCs w:val="24"/>
              </w:rPr>
              <w:t xml:space="preserve">Ja transplantācija ir veikta starp divām vakcīnu devām, tad otrā deva ir jādod ne ātrāk kā 1 mēnesi pēc transplantācijas vai ne ātrāk kā 3 mēnešus pēc transplantācijas, ja imūnsupresīvajā terapijā ir lietoti antitilimocitārais globulīns vai rituksimabs. </w:t>
            </w:r>
          </w:p>
          <w:p w14:paraId="7A3EFFB6" w14:textId="4F01AB51" w:rsidR="00172158" w:rsidRPr="00054634" w:rsidRDefault="00172158" w:rsidP="00172158">
            <w:pPr>
              <w:pStyle w:val="NormalWeb"/>
              <w:numPr>
                <w:ilvl w:val="1"/>
                <w:numId w:val="22"/>
              </w:numPr>
              <w:ind w:left="481" w:hanging="425"/>
              <w:jc w:val="both"/>
              <w:rPr>
                <w:rFonts w:ascii="Times New Roman" w:hAnsi="Times New Roman" w:cs="Times New Roman"/>
                <w:sz w:val="24"/>
                <w:szCs w:val="24"/>
              </w:rPr>
            </w:pPr>
            <w:r w:rsidRPr="00054634">
              <w:rPr>
                <w:rFonts w:ascii="Times New Roman" w:hAnsi="Times New Roman" w:cs="Times New Roman"/>
                <w:sz w:val="24"/>
                <w:szCs w:val="24"/>
              </w:rPr>
              <w:t xml:space="preserve">Ja ir saņemta ne-Covid-19 vakcīna, ir vēlams ievērot 14 dienu intervālu pirms Covid-19 vakcīnas saņemšanas. Covid-19 vakcīnu var saņemt ātrāk nekā pēc 14 dienām tikai ar vakcinējamās personas piekrišanu. </w:t>
            </w:r>
          </w:p>
          <w:p w14:paraId="60A28744" w14:textId="751BF1E7" w:rsidR="00172158" w:rsidRPr="00054634" w:rsidRDefault="00172158" w:rsidP="00172158">
            <w:pPr>
              <w:pStyle w:val="NormalWeb"/>
              <w:numPr>
                <w:ilvl w:val="1"/>
                <w:numId w:val="22"/>
              </w:numPr>
              <w:ind w:left="481" w:hanging="425"/>
              <w:jc w:val="both"/>
              <w:rPr>
                <w:rFonts w:ascii="Times New Roman" w:hAnsi="Times New Roman" w:cs="Times New Roman"/>
                <w:sz w:val="24"/>
                <w:szCs w:val="24"/>
              </w:rPr>
            </w:pPr>
            <w:r w:rsidRPr="00054634">
              <w:rPr>
                <w:rFonts w:ascii="Times New Roman" w:hAnsi="Times New Roman" w:cs="Times New Roman"/>
                <w:sz w:val="24"/>
                <w:szCs w:val="24"/>
              </w:rPr>
              <w:t>Piesardzība attiecībā uz mRNS Covid-19 vakcīnām. Otra mRNS vakcīnas deva ir atliekama tajās situācijās, ja pēc pirmās devas ir attīstījies miokardīts vai perikardīts. Šajā situācijā ir nepieciešama ārsta, vēlams kardiologa</w:t>
            </w:r>
            <w:r w:rsidR="00387859">
              <w:rPr>
                <w:rFonts w:ascii="Times New Roman" w:hAnsi="Times New Roman" w:cs="Times New Roman"/>
                <w:sz w:val="24"/>
                <w:szCs w:val="24"/>
              </w:rPr>
              <w:t>,</w:t>
            </w:r>
            <w:r w:rsidRPr="00054634">
              <w:rPr>
                <w:rFonts w:ascii="Times New Roman" w:hAnsi="Times New Roman" w:cs="Times New Roman"/>
                <w:sz w:val="24"/>
                <w:szCs w:val="24"/>
              </w:rPr>
              <w:t xml:space="preserve"> konsultācija par otrās devas saņemšanu, īpaši tad, ja pacientam ir augsts Covid-19 inficēšanās risks/riska faktori. Ja tiek rekomendēta otrās devas saņemšana, ir nepieciešama pacienta piekrišana. Otrā vakcīnas deva ir saņemama tikai pēc pilnīga miokardīta vai perikardīta simptomu izzušanas.</w:t>
            </w:r>
          </w:p>
        </w:tc>
      </w:tr>
      <w:tr w:rsidR="00E97D32" w:rsidRPr="00054634" w14:paraId="46C7552C" w14:textId="77777777" w:rsidTr="00172158">
        <w:tc>
          <w:tcPr>
            <w:tcW w:w="846" w:type="dxa"/>
            <w:vAlign w:val="center"/>
          </w:tcPr>
          <w:p w14:paraId="77E3BD65"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6.</w:t>
            </w:r>
          </w:p>
        </w:tc>
        <w:tc>
          <w:tcPr>
            <w:tcW w:w="2247" w:type="dxa"/>
            <w:vAlign w:val="center"/>
          </w:tcPr>
          <w:p w14:paraId="76E5B0B1" w14:textId="77777777" w:rsidR="00E97D32" w:rsidRPr="00054634" w:rsidRDefault="00E97D32" w:rsidP="004D05C6">
            <w:pPr>
              <w:jc w:val="center"/>
              <w:rPr>
                <w:rFonts w:ascii="Times New Roman" w:hAnsi="Times New Roman" w:cs="Times New Roman"/>
                <w:sz w:val="24"/>
                <w:szCs w:val="24"/>
              </w:rPr>
            </w:pPr>
            <w:r w:rsidRPr="00054634">
              <w:rPr>
                <w:rFonts w:ascii="Times New Roman" w:hAnsi="Times New Roman" w:cs="Times New Roman"/>
                <w:sz w:val="24"/>
                <w:szCs w:val="24"/>
              </w:rPr>
              <w:t>Pacienti ar citām saslimšanām</w:t>
            </w:r>
          </w:p>
        </w:tc>
        <w:tc>
          <w:tcPr>
            <w:tcW w:w="5923" w:type="dxa"/>
          </w:tcPr>
          <w:p w14:paraId="12CC8E71" w14:textId="23B3C93B" w:rsidR="00E97D32" w:rsidRPr="00387859" w:rsidRDefault="00E97D32" w:rsidP="0099735C">
            <w:pPr>
              <w:pStyle w:val="Default"/>
              <w:numPr>
                <w:ilvl w:val="1"/>
                <w:numId w:val="19"/>
              </w:numPr>
              <w:spacing w:after="27"/>
              <w:ind w:left="480" w:hanging="480"/>
              <w:jc w:val="both"/>
            </w:pPr>
            <w:r w:rsidRPr="00054634">
              <w:t xml:space="preserve"> Nekompensēta virsnieru mazspēja – vakcinācija atliekama līdz kompensācijas sasniegšanai</w:t>
            </w:r>
            <w:r w:rsidRPr="00387859">
              <w:rPr>
                <w:sz w:val="22"/>
                <w:szCs w:val="22"/>
              </w:rPr>
              <w:t>.</w:t>
            </w:r>
            <w:r w:rsidR="004D05C6" w:rsidRPr="00387859">
              <w:rPr>
                <w:sz w:val="22"/>
                <w:szCs w:val="22"/>
              </w:rPr>
              <w:t xml:space="preserve"> </w:t>
            </w:r>
            <w:r w:rsidRPr="00387859">
              <w:rPr>
                <w:sz w:val="22"/>
                <w:szCs w:val="22"/>
              </w:rPr>
              <w:t xml:space="preserve">Atsevišķos gadījumos pacientiem ar ārstētu virsnieru mazspēju ir nepieciešams palielināt esošo glikortikoīdu devu. Pirmās </w:t>
            </w:r>
            <w:r w:rsidRPr="00387859">
              <w:rPr>
                <w:sz w:val="22"/>
                <w:szCs w:val="22"/>
              </w:rPr>
              <w:lastRenderedPageBreak/>
              <w:t>dienas pēc vakcinācijas, rūpīgāka kontrole</w:t>
            </w:r>
            <w:r w:rsidR="00D06C0E" w:rsidRPr="00387859">
              <w:rPr>
                <w:sz w:val="22"/>
                <w:szCs w:val="22"/>
              </w:rPr>
              <w:t xml:space="preserve"> (arteriālā spiediena un ortostāzes noteikšana)</w:t>
            </w:r>
            <w:r w:rsidRPr="00387859">
              <w:rPr>
                <w:sz w:val="22"/>
                <w:szCs w:val="22"/>
              </w:rPr>
              <w:t>.</w:t>
            </w:r>
          </w:p>
          <w:p w14:paraId="164DEE9A" w14:textId="5B68C593" w:rsidR="00E97D32" w:rsidRPr="00054634" w:rsidRDefault="004D05C6" w:rsidP="004D05C6">
            <w:pPr>
              <w:pStyle w:val="Default"/>
              <w:numPr>
                <w:ilvl w:val="1"/>
                <w:numId w:val="19"/>
              </w:numPr>
              <w:spacing w:after="27"/>
              <w:ind w:left="480" w:hanging="480"/>
              <w:jc w:val="both"/>
            </w:pPr>
            <w:r w:rsidRPr="00054634">
              <w:t>A</w:t>
            </w:r>
            <w:r w:rsidR="00E97D32" w:rsidRPr="00054634">
              <w:t>kūta augšējo elpceļu infekcija</w:t>
            </w:r>
            <w:r w:rsidRPr="00054634">
              <w:t xml:space="preserve"> ar febrilitāti</w:t>
            </w:r>
            <w:r w:rsidR="00E97D32" w:rsidRPr="00054634">
              <w:t>. Vakcinācija</w:t>
            </w:r>
            <w:r w:rsidR="00D06C0E" w:rsidRPr="00054634">
              <w:t xml:space="preserve"> </w:t>
            </w:r>
            <w:r w:rsidR="00E97D32" w:rsidRPr="00054634">
              <w:t xml:space="preserve">atliekama līdz akūtās epizodes beigām. </w:t>
            </w:r>
          </w:p>
        </w:tc>
      </w:tr>
    </w:tbl>
    <w:p w14:paraId="6BD6E1B8" w14:textId="2D9E40E9" w:rsidR="001022EC" w:rsidRPr="00054634" w:rsidRDefault="001022EC"/>
    <w:p w14:paraId="14A73D77" w14:textId="77777777" w:rsidR="001022EC" w:rsidRPr="00054634" w:rsidRDefault="001022EC" w:rsidP="003D1F18">
      <w:pPr>
        <w:pStyle w:val="Default"/>
        <w:jc w:val="both"/>
      </w:pPr>
      <w:r w:rsidRPr="00054634">
        <w:t>Atsauces:</w:t>
      </w:r>
    </w:p>
    <w:p w14:paraId="5A9260DC" w14:textId="4BF8DF38" w:rsidR="003D1F18" w:rsidRPr="00054634" w:rsidRDefault="001022EC" w:rsidP="003D1F18">
      <w:pPr>
        <w:pStyle w:val="Default"/>
        <w:jc w:val="both"/>
        <w:rPr>
          <w:sz w:val="20"/>
          <w:szCs w:val="20"/>
        </w:rPr>
      </w:pPr>
      <w:r w:rsidRPr="00054634">
        <w:rPr>
          <w:b/>
          <w:bCs/>
          <w:sz w:val="20"/>
          <w:szCs w:val="20"/>
        </w:rPr>
        <w:t>Medicīniskas situācijas, kad COVID-19 vakcinācija var tik</w:t>
      </w:r>
      <w:r w:rsidR="00E82910">
        <w:rPr>
          <w:b/>
          <w:bCs/>
          <w:sz w:val="20"/>
          <w:szCs w:val="20"/>
        </w:rPr>
        <w:t>t</w:t>
      </w:r>
      <w:r w:rsidRPr="00054634">
        <w:rPr>
          <w:b/>
          <w:bCs/>
          <w:sz w:val="20"/>
          <w:szCs w:val="20"/>
        </w:rPr>
        <w:t xml:space="preserve"> atlikta uz noteiktu laiku – konkrētās situācijas izvērtē konkrētās nozares speciālists</w:t>
      </w:r>
      <w:r w:rsidR="00E82910">
        <w:rPr>
          <w:b/>
          <w:bCs/>
          <w:sz w:val="20"/>
          <w:szCs w:val="20"/>
        </w:rPr>
        <w:t>:</w:t>
      </w:r>
    </w:p>
    <w:p w14:paraId="16002DE5" w14:textId="66266991" w:rsidR="001022EC" w:rsidRPr="00054634" w:rsidRDefault="001022EC" w:rsidP="003D1F18">
      <w:pPr>
        <w:pStyle w:val="ListParagraph"/>
        <w:numPr>
          <w:ilvl w:val="0"/>
          <w:numId w:val="26"/>
        </w:numPr>
        <w:spacing w:after="0" w:line="240" w:lineRule="auto"/>
        <w:jc w:val="both"/>
        <w:rPr>
          <w:rFonts w:ascii="Times New Roman" w:hAnsi="Times New Roman" w:cs="Times New Roman"/>
          <w:color w:val="000000"/>
          <w:sz w:val="20"/>
          <w:szCs w:val="20"/>
        </w:rPr>
      </w:pPr>
      <w:r w:rsidRPr="00054634">
        <w:rPr>
          <w:rFonts w:ascii="Times New Roman" w:hAnsi="Times New Roman" w:cs="Times New Roman"/>
          <w:color w:val="000000"/>
          <w:sz w:val="20"/>
          <w:szCs w:val="20"/>
        </w:rPr>
        <w:t xml:space="preserve">COVID-19 vaccination in cancer patients: ESMO statements https://www.esmo.org/covid-19-and-cancer/covid-19-vaccination </w:t>
      </w:r>
    </w:p>
    <w:p w14:paraId="1FED5547" w14:textId="4E917E62" w:rsidR="001022EC" w:rsidRPr="00054634" w:rsidRDefault="001022EC" w:rsidP="003D1F18">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0"/>
          <w:szCs w:val="20"/>
        </w:rPr>
      </w:pPr>
      <w:r w:rsidRPr="00054634">
        <w:rPr>
          <w:rFonts w:ascii="Times New Roman" w:hAnsi="Times New Roman" w:cs="Times New Roman"/>
          <w:color w:val="000000"/>
          <w:sz w:val="20"/>
          <w:szCs w:val="20"/>
        </w:rPr>
        <w:t xml:space="preserve">CORONAVIRUS DISEASE COVID-19: EBMT RECOMMENDATIONS VERSION 14 – January 12, 2021. https://newsletters.ebmt.org/view.php?J=RsJLNv9Vq8oq0ueIz6xbIg&amp;C=FVo8Raazc8pQFecJ9tIPGg </w:t>
      </w:r>
    </w:p>
    <w:p w14:paraId="6EED4946" w14:textId="4AB5AD90" w:rsidR="001022EC" w:rsidRPr="00054634" w:rsidRDefault="001022EC" w:rsidP="003D1F18">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0"/>
          <w:szCs w:val="20"/>
        </w:rPr>
      </w:pPr>
      <w:r w:rsidRPr="00054634">
        <w:rPr>
          <w:rFonts w:ascii="Times New Roman" w:hAnsi="Times New Roman" w:cs="Times New Roman"/>
          <w:color w:val="000000"/>
          <w:sz w:val="20"/>
          <w:szCs w:val="20"/>
        </w:rPr>
        <w:t xml:space="preserve">COVID-19 vaccines. Version 3.0, January 12, 2021 https://newsletters.ebmt.org/view.php?J=RsJLNv9Vq8oq0ueIz6xbIg&amp;C=FVo8Raazc8pQFecJ9tIPGg </w:t>
      </w:r>
    </w:p>
    <w:p w14:paraId="20210362" w14:textId="6C1B31CA" w:rsidR="001022EC" w:rsidRPr="00054634" w:rsidRDefault="001022EC" w:rsidP="003D1F18">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0"/>
          <w:szCs w:val="20"/>
        </w:rPr>
      </w:pPr>
      <w:r w:rsidRPr="00054634">
        <w:rPr>
          <w:rFonts w:ascii="Times New Roman" w:hAnsi="Times New Roman" w:cs="Times New Roman"/>
          <w:color w:val="000000"/>
          <w:sz w:val="20"/>
          <w:szCs w:val="20"/>
        </w:rPr>
        <w:t xml:space="preserve">Polack FP, Thomas SJ, Kitchin N, et al. Safety and Efficacy of the BNT162b2 mRNA Covid-19 Vaccine. N Engl J Med. 2020. </w:t>
      </w:r>
    </w:p>
    <w:p w14:paraId="2D8B914E" w14:textId="2074DE07" w:rsidR="001022EC" w:rsidRPr="00054634" w:rsidRDefault="001022EC" w:rsidP="003D1F18">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0"/>
          <w:szCs w:val="20"/>
        </w:rPr>
      </w:pPr>
      <w:r w:rsidRPr="00054634">
        <w:rPr>
          <w:rFonts w:ascii="Times New Roman" w:hAnsi="Times New Roman" w:cs="Times New Roman"/>
          <w:color w:val="000000"/>
          <w:sz w:val="20"/>
          <w:szCs w:val="20"/>
        </w:rPr>
        <w:t xml:space="preserve">Oliver SE, Gargano JW, Marin M, et al. The Advisory Committee on Immunization Practices' Interim Recommendation for Use of Pfizer-BioNTech COVID-19 Vaccine - United States, December 2020. MMWR Morb Mortal Wkly Rep. 2020;69(50):1922-1924. </w:t>
      </w:r>
    </w:p>
    <w:p w14:paraId="5E523AD8" w14:textId="5A51CDDA" w:rsidR="001022EC" w:rsidRPr="00054634" w:rsidRDefault="001022EC" w:rsidP="003D1F18">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0"/>
          <w:szCs w:val="20"/>
        </w:rPr>
      </w:pPr>
      <w:r w:rsidRPr="00054634">
        <w:rPr>
          <w:rFonts w:ascii="Times New Roman" w:hAnsi="Times New Roman" w:cs="Times New Roman"/>
          <w:color w:val="000000"/>
          <w:sz w:val="20"/>
          <w:szCs w:val="20"/>
        </w:rPr>
        <w:t xml:space="preserve">Baden LR, El Sahly HM, Essink B, et al. Efficacy and Safety of the mRNA-1273 SARSCoV-2 Vaccine. N Engl J Med. 2020. </w:t>
      </w:r>
    </w:p>
    <w:p w14:paraId="346584B1" w14:textId="77777777" w:rsidR="003D1F18" w:rsidRPr="00054634" w:rsidRDefault="001022EC" w:rsidP="003D1F18">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0"/>
          <w:szCs w:val="20"/>
        </w:rPr>
      </w:pPr>
      <w:r w:rsidRPr="00054634">
        <w:rPr>
          <w:rFonts w:ascii="Times New Roman" w:hAnsi="Times New Roman" w:cs="Times New Roman"/>
          <w:color w:val="000000"/>
          <w:sz w:val="20"/>
          <w:szCs w:val="20"/>
        </w:rPr>
        <w:t xml:space="preserve">Voysey M, Clemens SAC, Madhi SA, et al. Safety and efficacy of the ChAdOx1 nCoV-19 vaccine (AZD1222) against SARS-CoV-2: an interim analysis of four randomised controlled trials in Brazil, South Africa, and the UK. Lancet. 2020. </w:t>
      </w:r>
    </w:p>
    <w:p w14:paraId="28073F2E" w14:textId="47EEEF77" w:rsidR="001022EC" w:rsidRPr="00054634" w:rsidRDefault="001022EC" w:rsidP="003D1F18">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0"/>
          <w:szCs w:val="20"/>
        </w:rPr>
      </w:pPr>
      <w:r w:rsidRPr="00054634">
        <w:rPr>
          <w:sz w:val="20"/>
          <w:szCs w:val="20"/>
        </w:rPr>
        <w:t xml:space="preserve">Cordonnier C, Labopin M, Chesnel V, et al. Randomized study of early versus late immunization with pneumococcal conjugate vaccine after allogeneic stem cell transplantation. Clin Infect Dis. 2009;48(10):1392-1401. </w:t>
      </w:r>
    </w:p>
    <w:p w14:paraId="390F8D8B" w14:textId="47F175A2" w:rsidR="001022EC" w:rsidRPr="00054634" w:rsidRDefault="001022EC" w:rsidP="003D1F18">
      <w:pPr>
        <w:pStyle w:val="Default"/>
        <w:numPr>
          <w:ilvl w:val="0"/>
          <w:numId w:val="26"/>
        </w:numPr>
        <w:jc w:val="both"/>
        <w:rPr>
          <w:sz w:val="20"/>
          <w:szCs w:val="20"/>
        </w:rPr>
      </w:pPr>
      <w:r w:rsidRPr="00054634">
        <w:rPr>
          <w:sz w:val="20"/>
          <w:szCs w:val="20"/>
        </w:rPr>
        <w:t xml:space="preserve">Robin C, Bahuaud M, Redjoul R, et al. Antipneumococcal Seroprotection Years After Vaccination in Allogeneic Hematopoietic Cell Transplant Recipients. Clin Infect Dis. 2020;71(8):e301- e307. </w:t>
      </w:r>
    </w:p>
    <w:p w14:paraId="24B5F26D" w14:textId="153A9841" w:rsidR="001022EC" w:rsidRPr="00054634" w:rsidRDefault="001022EC" w:rsidP="003D1F18">
      <w:pPr>
        <w:pStyle w:val="Default"/>
        <w:numPr>
          <w:ilvl w:val="0"/>
          <w:numId w:val="26"/>
        </w:numPr>
        <w:jc w:val="both"/>
        <w:rPr>
          <w:sz w:val="20"/>
          <w:szCs w:val="20"/>
        </w:rPr>
      </w:pPr>
      <w:r w:rsidRPr="00054634">
        <w:rPr>
          <w:sz w:val="20"/>
          <w:szCs w:val="20"/>
        </w:rPr>
        <w:t xml:space="preserve">McCaughan G, Di Ciaccio P, Ananda-Rajah M, Gilroy N, MacIntyre R, Teh B, Weinkove R, Curnow J, Szer J, Enjeti AK, Ross DM, Mulligan S, Trotman J, Dickinson M, Quach H, Choi P, Polizzotto MN, Tam CS, Ho PJ, Ku M, Gregory G, Gangatharan S, Hapgood G, Cochrane T, Cheah C, Gibbs S, Wei A, Johnston A, Greenwood M, Prince HM, Latimer M, Berkahn L, Wight J, Armytage T, Hamad N. COVID-19 vaccination in haematology patients: an Australian and New Zealand consensus position statement. Intern Med J. 2021 May;51(5):763-768. doi: 10.1111/imj.15247. PMID: 34047035; PMCID: PMC8206846. </w:t>
      </w:r>
    </w:p>
    <w:p w14:paraId="61348047" w14:textId="77777777" w:rsidR="003D1F18" w:rsidRPr="00054634" w:rsidRDefault="001022EC" w:rsidP="003D1F18">
      <w:pPr>
        <w:pStyle w:val="Default"/>
        <w:numPr>
          <w:ilvl w:val="0"/>
          <w:numId w:val="26"/>
        </w:numPr>
        <w:jc w:val="both"/>
        <w:rPr>
          <w:sz w:val="20"/>
          <w:szCs w:val="20"/>
        </w:rPr>
      </w:pPr>
      <w:r w:rsidRPr="00054634">
        <w:rPr>
          <w:sz w:val="20"/>
          <w:szCs w:val="20"/>
        </w:rPr>
        <w:t xml:space="preserve">NCCN: Cancer and COVID-19 Vaccination Version 3.0 06/09/2021 </w:t>
      </w:r>
    </w:p>
    <w:p w14:paraId="7FFD2E76" w14:textId="77777777" w:rsidR="003D1F18" w:rsidRPr="00054634" w:rsidRDefault="001022EC" w:rsidP="003D1F18">
      <w:pPr>
        <w:pStyle w:val="Default"/>
        <w:numPr>
          <w:ilvl w:val="0"/>
          <w:numId w:val="26"/>
        </w:numPr>
        <w:jc w:val="both"/>
        <w:rPr>
          <w:sz w:val="20"/>
          <w:szCs w:val="20"/>
        </w:rPr>
      </w:pPr>
      <w:r w:rsidRPr="00054634">
        <w:rPr>
          <w:sz w:val="20"/>
          <w:szCs w:val="20"/>
        </w:rPr>
        <w:t xml:space="preserve">General Principles of COVID-19 Vaccines for Immunocompromised Patients (Version 4.0; last updated June 24, 2021) </w:t>
      </w:r>
      <w:hyperlink r:id="rId8" w:history="1">
        <w:r w:rsidR="003D1F18" w:rsidRPr="00054634">
          <w:rPr>
            <w:rStyle w:val="Hyperlink"/>
            <w:sz w:val="20"/>
            <w:szCs w:val="20"/>
          </w:rPr>
          <w:t>https://www.hematology.org/covid-19/ash-astct-covid-19-and-vaccines</w:t>
        </w:r>
      </w:hyperlink>
    </w:p>
    <w:p w14:paraId="7E5FBF9F" w14:textId="6E73145E" w:rsidR="001022EC" w:rsidRPr="00054634" w:rsidRDefault="003D1F18" w:rsidP="003D1F18">
      <w:pPr>
        <w:pStyle w:val="Default"/>
        <w:numPr>
          <w:ilvl w:val="0"/>
          <w:numId w:val="26"/>
        </w:numPr>
        <w:jc w:val="both"/>
        <w:rPr>
          <w:sz w:val="20"/>
          <w:szCs w:val="20"/>
        </w:rPr>
      </w:pPr>
      <w:r w:rsidRPr="00054634">
        <w:rPr>
          <w:sz w:val="20"/>
          <w:szCs w:val="20"/>
        </w:rPr>
        <w:t xml:space="preserve">Pieejams: </w:t>
      </w:r>
      <w:hyperlink r:id="rId9" w:history="1">
        <w:r w:rsidRPr="00054634">
          <w:rPr>
            <w:rStyle w:val="Hyperlink"/>
            <w:sz w:val="20"/>
            <w:szCs w:val="20"/>
          </w:rPr>
          <w:t>https://www.nccn.org/docs/default-source/covid-19/2021_covid-19_vaccination_guidance_v3-0.pdf?sfvrsn=b483da2b_60</w:t>
        </w:r>
      </w:hyperlink>
    </w:p>
    <w:p w14:paraId="6522655D" w14:textId="77777777" w:rsidR="003D1F18" w:rsidRPr="00054634" w:rsidRDefault="003D1F18" w:rsidP="003D1F18">
      <w:pPr>
        <w:spacing w:after="0" w:line="240" w:lineRule="auto"/>
        <w:jc w:val="both"/>
        <w:rPr>
          <w:rFonts w:ascii="Times New Roman" w:hAnsi="Times New Roman" w:cs="Times New Roman"/>
          <w:b/>
          <w:bCs/>
          <w:sz w:val="20"/>
          <w:szCs w:val="20"/>
        </w:rPr>
      </w:pPr>
    </w:p>
    <w:p w14:paraId="76B2DE1B" w14:textId="2FC2F449" w:rsidR="001022EC" w:rsidRPr="00054634" w:rsidRDefault="001022EC" w:rsidP="003D1F18">
      <w:pPr>
        <w:spacing w:after="0" w:line="240" w:lineRule="auto"/>
        <w:jc w:val="both"/>
        <w:rPr>
          <w:rFonts w:ascii="Times New Roman" w:hAnsi="Times New Roman" w:cs="Times New Roman"/>
          <w:b/>
          <w:bCs/>
          <w:sz w:val="20"/>
          <w:szCs w:val="20"/>
        </w:rPr>
      </w:pPr>
      <w:r w:rsidRPr="00054634">
        <w:rPr>
          <w:rFonts w:ascii="Times New Roman" w:hAnsi="Times New Roman" w:cs="Times New Roman"/>
          <w:b/>
          <w:bCs/>
          <w:sz w:val="20"/>
          <w:szCs w:val="20"/>
        </w:rPr>
        <w:t>Pacienti ar reimatiskām saslimšanām:</w:t>
      </w:r>
    </w:p>
    <w:p w14:paraId="016E36BB" w14:textId="2426BD4C" w:rsidR="001022EC" w:rsidRPr="00054634" w:rsidRDefault="001022EC" w:rsidP="003D1F18">
      <w:pPr>
        <w:pStyle w:val="Default"/>
        <w:numPr>
          <w:ilvl w:val="0"/>
          <w:numId w:val="26"/>
        </w:numPr>
        <w:jc w:val="both"/>
        <w:rPr>
          <w:sz w:val="20"/>
          <w:szCs w:val="20"/>
        </w:rPr>
      </w:pPr>
      <w:r w:rsidRPr="00054634">
        <w:rPr>
          <w:sz w:val="20"/>
          <w:szCs w:val="20"/>
        </w:rPr>
        <w:t xml:space="preserve">Curtis JR, Johnson SR, Anthony DD, Arasaratnam RJ, Baden LR, Bass AR, et al. American College of Rheumatology Guidance for COVID-19 Vaccination in Patients with Rheumatic and Musculoskeletal Diseases – Version 1. Arthritis Rheumatol 2021. https://onlinelibrary.wiley.com/doi/10.1002/art.41734 </w:t>
      </w:r>
    </w:p>
    <w:p w14:paraId="7C3656BC" w14:textId="5FD9E3C5" w:rsidR="001022EC" w:rsidRPr="00054634" w:rsidRDefault="001022EC" w:rsidP="003D1F18">
      <w:pPr>
        <w:pStyle w:val="Default"/>
        <w:numPr>
          <w:ilvl w:val="0"/>
          <w:numId w:val="26"/>
        </w:numPr>
        <w:jc w:val="both"/>
        <w:rPr>
          <w:sz w:val="20"/>
          <w:szCs w:val="20"/>
        </w:rPr>
      </w:pPr>
      <w:r w:rsidRPr="00054634">
        <w:rPr>
          <w:sz w:val="20"/>
          <w:szCs w:val="20"/>
        </w:rPr>
        <w:t xml:space="preserve">Curtis JR, Johnson SR, Anthony DD, Arasaratnam RJ, Baden LR, Bass AR, et al. American College of Rheumatology Guidance for COVID-19 Vaccination in Patients with Rheumatic and Musculoskeletal Diseases – Version 2. Arthritis Rheumatol 2021. </w:t>
      </w:r>
      <w:r w:rsidR="00783387">
        <w:fldChar w:fldCharType="begin"/>
      </w:r>
      <w:r w:rsidR="00783387">
        <w:instrText xml:space="preserve"> HYPERLINK "https://onlinelibrary.wiley.com/doi/full/10.1002/art.41877" </w:instrText>
      </w:r>
      <w:r w:rsidR="00783387">
        <w:fldChar w:fldCharType="separate"/>
      </w:r>
      <w:r w:rsidRPr="00054634">
        <w:rPr>
          <w:rStyle w:val="Hyperlink"/>
          <w:sz w:val="20"/>
          <w:szCs w:val="20"/>
        </w:rPr>
        <w:t>https://onlinelibrary.wiley.com/doi/full/10.1002/art.41877</w:t>
      </w:r>
      <w:r w:rsidR="00783387">
        <w:rPr>
          <w:rStyle w:val="Hyperlink"/>
          <w:sz w:val="20"/>
          <w:szCs w:val="20"/>
        </w:rPr>
        <w:fldChar w:fldCharType="end"/>
      </w:r>
      <w:r w:rsidRPr="00054634">
        <w:rPr>
          <w:sz w:val="20"/>
          <w:szCs w:val="20"/>
        </w:rPr>
        <w:t xml:space="preserve"> </w:t>
      </w:r>
    </w:p>
    <w:p w14:paraId="73A4341F" w14:textId="6FE8379E" w:rsidR="001022EC" w:rsidRPr="00054634" w:rsidRDefault="003D1F18" w:rsidP="003D1F18">
      <w:pPr>
        <w:pStyle w:val="ListParagraph"/>
        <w:numPr>
          <w:ilvl w:val="0"/>
          <w:numId w:val="26"/>
        </w:numPr>
        <w:spacing w:after="0" w:line="240" w:lineRule="auto"/>
        <w:jc w:val="both"/>
        <w:rPr>
          <w:rFonts w:ascii="Times New Roman" w:hAnsi="Times New Roman" w:cs="Times New Roman"/>
          <w:sz w:val="20"/>
          <w:szCs w:val="20"/>
        </w:rPr>
      </w:pPr>
      <w:r w:rsidRPr="00054634">
        <w:rPr>
          <w:rFonts w:ascii="Times New Roman" w:hAnsi="Times New Roman" w:cs="Times New Roman"/>
          <w:sz w:val="20"/>
          <w:szCs w:val="20"/>
        </w:rPr>
        <w:t xml:space="preserve">Pieejams: </w:t>
      </w:r>
      <w:hyperlink r:id="rId10" w:history="1">
        <w:r w:rsidRPr="00054634">
          <w:rPr>
            <w:rStyle w:val="Hyperlink"/>
            <w:rFonts w:ascii="Times New Roman" w:hAnsi="Times New Roman" w:cs="Times New Roman"/>
            <w:sz w:val="20"/>
            <w:szCs w:val="20"/>
          </w:rPr>
          <w:t>https://www.rheumatology.org/Portals/0/Files/COVID-19-Vaccine-Clinical-Guidance-Rheumatic-Diseases-Summary.pdf</w:t>
        </w:r>
      </w:hyperlink>
    </w:p>
    <w:p w14:paraId="6E8C5CF9" w14:textId="77777777" w:rsidR="001022EC" w:rsidRPr="00054634" w:rsidRDefault="001022EC" w:rsidP="003D1F18">
      <w:pPr>
        <w:pStyle w:val="Default"/>
        <w:jc w:val="both"/>
        <w:rPr>
          <w:sz w:val="20"/>
          <w:szCs w:val="20"/>
        </w:rPr>
      </w:pPr>
    </w:p>
    <w:p w14:paraId="17555B99" w14:textId="43A0A57A" w:rsidR="001022EC" w:rsidRPr="00054634" w:rsidRDefault="001022EC" w:rsidP="003D1F18">
      <w:pPr>
        <w:spacing w:after="0" w:line="240" w:lineRule="auto"/>
        <w:jc w:val="both"/>
        <w:rPr>
          <w:rFonts w:ascii="Times New Roman" w:hAnsi="Times New Roman" w:cs="Times New Roman"/>
          <w:sz w:val="20"/>
          <w:szCs w:val="20"/>
        </w:rPr>
      </w:pPr>
      <w:r w:rsidRPr="00054634">
        <w:rPr>
          <w:rFonts w:ascii="Times New Roman" w:hAnsi="Times New Roman" w:cs="Times New Roman"/>
          <w:b/>
          <w:bCs/>
          <w:sz w:val="20"/>
          <w:szCs w:val="20"/>
        </w:rPr>
        <w:t>Pacienti ar citām saslimšanām:</w:t>
      </w:r>
    </w:p>
    <w:p w14:paraId="1F1E7635" w14:textId="6E019150" w:rsidR="001022EC" w:rsidRPr="00054634" w:rsidRDefault="001022EC" w:rsidP="003D1F18">
      <w:pPr>
        <w:pStyle w:val="Default"/>
        <w:numPr>
          <w:ilvl w:val="0"/>
          <w:numId w:val="26"/>
        </w:numPr>
        <w:jc w:val="both"/>
        <w:rPr>
          <w:sz w:val="20"/>
          <w:szCs w:val="20"/>
        </w:rPr>
      </w:pPr>
      <w:r w:rsidRPr="00054634">
        <w:rPr>
          <w:sz w:val="20"/>
          <w:szCs w:val="20"/>
        </w:rPr>
        <w:t xml:space="preserve">Giuseppe Lisco, Anna De Tullio, Assunta Stragapede, Antonio Giovanni Solimando, Federica Albanese, Martina Capobianco, Vito Angelo Giagulli, Edoardo Guastamacchia, Giovanni De Pergola, Angelo Vacca, Vito Racanelli, Vincenzo Triggiani COVID-19 and the Endocrine System: A Comprehensive Review on the Theme J. Clin. Med. 2021, 10, 2920. https://doi.org/10.3390/jcm10132920 </w:t>
      </w:r>
    </w:p>
    <w:p w14:paraId="37ACE882" w14:textId="4D308D58" w:rsidR="001022EC" w:rsidRPr="00054634" w:rsidRDefault="001022EC" w:rsidP="003D1F18">
      <w:pPr>
        <w:pStyle w:val="Default"/>
        <w:numPr>
          <w:ilvl w:val="0"/>
          <w:numId w:val="26"/>
        </w:numPr>
        <w:jc w:val="both"/>
        <w:rPr>
          <w:sz w:val="20"/>
          <w:szCs w:val="20"/>
        </w:rPr>
      </w:pPr>
      <w:r w:rsidRPr="00054634">
        <w:rPr>
          <w:sz w:val="20"/>
          <w:szCs w:val="20"/>
        </w:rPr>
        <w:lastRenderedPageBreak/>
        <w:t xml:space="preserve">M. Puig-Domingo, M. Marazuela, B. O. Yildiz, A. Giustina COVID-19 and endocrine and metabolic diseases. An updated statement from the European Society of Endocrinology Endocrine (2021) 72:301–316 https://doi.org/10.1007/s12020-021-02734-w </w:t>
      </w:r>
    </w:p>
    <w:p w14:paraId="62891BC1" w14:textId="77777777" w:rsidR="003D1F18" w:rsidRPr="00054634" w:rsidRDefault="003D1F18" w:rsidP="003D1F18">
      <w:pPr>
        <w:spacing w:after="0" w:line="240" w:lineRule="auto"/>
        <w:jc w:val="both"/>
        <w:rPr>
          <w:rFonts w:ascii="Times New Roman" w:hAnsi="Times New Roman" w:cs="Times New Roman"/>
          <w:b/>
          <w:bCs/>
          <w:sz w:val="20"/>
          <w:szCs w:val="20"/>
        </w:rPr>
      </w:pPr>
    </w:p>
    <w:p w14:paraId="14920BFB" w14:textId="25984049" w:rsidR="001022EC" w:rsidRPr="00054634" w:rsidRDefault="001022EC" w:rsidP="003D1F18">
      <w:pPr>
        <w:spacing w:after="0" w:line="240" w:lineRule="auto"/>
        <w:jc w:val="both"/>
        <w:rPr>
          <w:rFonts w:ascii="Times New Roman" w:hAnsi="Times New Roman" w:cs="Times New Roman"/>
          <w:b/>
          <w:bCs/>
          <w:sz w:val="20"/>
          <w:szCs w:val="20"/>
        </w:rPr>
      </w:pPr>
      <w:r w:rsidRPr="00054634">
        <w:rPr>
          <w:rFonts w:ascii="Times New Roman" w:hAnsi="Times New Roman" w:cs="Times New Roman"/>
          <w:b/>
          <w:bCs/>
          <w:sz w:val="20"/>
          <w:szCs w:val="20"/>
        </w:rPr>
        <w:t>Pacienti ar multiplo sklerozi</w:t>
      </w:r>
      <w:r w:rsidR="00E82910">
        <w:rPr>
          <w:rFonts w:ascii="Times New Roman" w:hAnsi="Times New Roman" w:cs="Times New Roman"/>
          <w:b/>
          <w:bCs/>
          <w:sz w:val="20"/>
          <w:szCs w:val="20"/>
        </w:rPr>
        <w:t>:</w:t>
      </w:r>
    </w:p>
    <w:p w14:paraId="1E22835E" w14:textId="20148661" w:rsidR="00A644E9" w:rsidRPr="00054634" w:rsidRDefault="003D1F18" w:rsidP="003D1F18">
      <w:pPr>
        <w:pStyle w:val="Default"/>
        <w:numPr>
          <w:ilvl w:val="0"/>
          <w:numId w:val="26"/>
        </w:numPr>
        <w:jc w:val="both"/>
        <w:rPr>
          <w:sz w:val="20"/>
          <w:szCs w:val="20"/>
        </w:rPr>
      </w:pPr>
      <w:r w:rsidRPr="00054634">
        <w:rPr>
          <w:sz w:val="20"/>
          <w:szCs w:val="20"/>
        </w:rPr>
        <w:t xml:space="preserve">Pieejams: </w:t>
      </w:r>
      <w:r w:rsidR="001022EC" w:rsidRPr="00054634">
        <w:rPr>
          <w:sz w:val="20"/>
          <w:szCs w:val="20"/>
        </w:rPr>
        <w:t xml:space="preserve">https://www.nationalmssociety.org/coronavirus-covid-19-information/multiple-sclerosis-and-coronavirus/covid-19-vaccine-guidance/Timing-MS-Medications-with-COVID-19-Vaccine </w:t>
      </w:r>
    </w:p>
    <w:p w14:paraId="0E02B147" w14:textId="77777777" w:rsidR="00A644E9" w:rsidRPr="00054634" w:rsidRDefault="001022EC" w:rsidP="003D1F18">
      <w:pPr>
        <w:pStyle w:val="Default"/>
        <w:numPr>
          <w:ilvl w:val="0"/>
          <w:numId w:val="26"/>
        </w:numPr>
        <w:jc w:val="both"/>
        <w:rPr>
          <w:sz w:val="20"/>
          <w:szCs w:val="20"/>
        </w:rPr>
      </w:pPr>
      <w:r w:rsidRPr="00054634">
        <w:rPr>
          <w:sz w:val="20"/>
          <w:szCs w:val="20"/>
        </w:rPr>
        <w:t xml:space="preserve"> Reyes S, Cunningham AL, Kalincik T, et al. Update on the management of multiple sclerosis during the COVID-19 pandemic and post pandemic: An international consensus statement. </w:t>
      </w:r>
      <w:r w:rsidRPr="00054634">
        <w:rPr>
          <w:i/>
          <w:iCs/>
          <w:sz w:val="20"/>
          <w:szCs w:val="20"/>
        </w:rPr>
        <w:t>J Neuroimmunol</w:t>
      </w:r>
      <w:r w:rsidRPr="00054634">
        <w:rPr>
          <w:sz w:val="20"/>
          <w:szCs w:val="20"/>
        </w:rPr>
        <w:t xml:space="preserve">. 2021;357:577627. doi:10.1016/j.jneuroim.2021.577627 </w:t>
      </w:r>
    </w:p>
    <w:p w14:paraId="22B65303" w14:textId="77777777" w:rsidR="00A644E9" w:rsidRPr="00054634" w:rsidRDefault="001022EC" w:rsidP="003D1F18">
      <w:pPr>
        <w:pStyle w:val="Default"/>
        <w:numPr>
          <w:ilvl w:val="0"/>
          <w:numId w:val="26"/>
        </w:numPr>
        <w:jc w:val="both"/>
        <w:rPr>
          <w:sz w:val="20"/>
          <w:szCs w:val="20"/>
        </w:rPr>
      </w:pPr>
      <w:r w:rsidRPr="00054634">
        <w:rPr>
          <w:sz w:val="20"/>
          <w:szCs w:val="20"/>
        </w:rPr>
        <w:t xml:space="preserve">Farez M, Correale J, Armstrong M, et al. Practice guideline update summary: Vaccine-preventable infections and immunization in multiple sclerosis: Report of the Guideline Development, Dissemination, and Implementation Subcommittee of the American Academy of Neurology. Neurology 2019;93(13):584-594 </w:t>
      </w:r>
    </w:p>
    <w:p w14:paraId="513A48A1" w14:textId="6ACF0316" w:rsidR="001022EC" w:rsidRPr="00054634" w:rsidRDefault="001022EC" w:rsidP="003D1F18">
      <w:pPr>
        <w:pStyle w:val="Default"/>
        <w:numPr>
          <w:ilvl w:val="0"/>
          <w:numId w:val="26"/>
        </w:numPr>
        <w:jc w:val="both"/>
        <w:rPr>
          <w:sz w:val="20"/>
          <w:szCs w:val="20"/>
        </w:rPr>
      </w:pPr>
      <w:r w:rsidRPr="00054634">
        <w:rPr>
          <w:sz w:val="20"/>
          <w:szCs w:val="20"/>
        </w:rPr>
        <w:t xml:space="preserve">Ciotti J, Valtcheva M, and Cross A. Effects of MS disease-modifying therapies on responses to vaccinations: A review. Multiple Sclerosis and Related Disorders 2020;45:102439 </w:t>
      </w:r>
    </w:p>
    <w:p w14:paraId="4DD7304F" w14:textId="03182B1A" w:rsidR="001022EC" w:rsidRPr="00054634" w:rsidRDefault="001022EC" w:rsidP="003D1F18">
      <w:pPr>
        <w:pStyle w:val="Default"/>
        <w:numPr>
          <w:ilvl w:val="0"/>
          <w:numId w:val="26"/>
        </w:numPr>
        <w:jc w:val="both"/>
        <w:rPr>
          <w:sz w:val="20"/>
          <w:szCs w:val="20"/>
        </w:rPr>
      </w:pPr>
      <w:r w:rsidRPr="00054634">
        <w:rPr>
          <w:sz w:val="20"/>
          <w:szCs w:val="20"/>
        </w:rPr>
        <w:t xml:space="preserve">Bar-Or A, Calkwood J, Chognot C, et al. Effect of ocrelizumab on vaccine responses in patients with multiple sclerosis: The VELOCE study. Neurology 2020;95(14):e1999-e2008. </w:t>
      </w:r>
    </w:p>
    <w:p w14:paraId="2A43BAEA" w14:textId="04609B3F" w:rsidR="001022EC" w:rsidRPr="00054634" w:rsidRDefault="001022EC" w:rsidP="003D1F18">
      <w:pPr>
        <w:spacing w:after="0" w:line="240" w:lineRule="auto"/>
        <w:jc w:val="both"/>
        <w:rPr>
          <w:rFonts w:ascii="Times New Roman" w:hAnsi="Times New Roman" w:cs="Times New Roman"/>
          <w:sz w:val="20"/>
          <w:szCs w:val="20"/>
        </w:rPr>
      </w:pPr>
    </w:p>
    <w:p w14:paraId="09306428" w14:textId="5CE6FB4C" w:rsidR="00A644E9" w:rsidRPr="00054634" w:rsidRDefault="00A644E9" w:rsidP="003D1F18">
      <w:pPr>
        <w:spacing w:after="0" w:line="240" w:lineRule="auto"/>
        <w:jc w:val="both"/>
        <w:rPr>
          <w:rFonts w:ascii="Times New Roman" w:hAnsi="Times New Roman" w:cs="Times New Roman"/>
          <w:sz w:val="20"/>
          <w:szCs w:val="20"/>
        </w:rPr>
      </w:pPr>
      <w:r w:rsidRPr="00054634">
        <w:rPr>
          <w:rFonts w:ascii="Times New Roman" w:hAnsi="Times New Roman" w:cs="Times New Roman"/>
          <w:b/>
          <w:bCs/>
          <w:sz w:val="20"/>
          <w:szCs w:val="20"/>
        </w:rPr>
        <w:t>Orgānu transplantāciju gadījumā</w:t>
      </w:r>
      <w:r w:rsidR="00E82910">
        <w:rPr>
          <w:rFonts w:ascii="Times New Roman" w:hAnsi="Times New Roman" w:cs="Times New Roman"/>
          <w:b/>
          <w:bCs/>
          <w:sz w:val="20"/>
          <w:szCs w:val="20"/>
        </w:rPr>
        <w:t>:</w:t>
      </w:r>
    </w:p>
    <w:p w14:paraId="00BA7256" w14:textId="77777777" w:rsidR="00A644E9" w:rsidRPr="00054634" w:rsidRDefault="00A644E9" w:rsidP="003D1F18">
      <w:pPr>
        <w:pStyle w:val="breakall"/>
        <w:numPr>
          <w:ilvl w:val="0"/>
          <w:numId w:val="26"/>
        </w:numPr>
        <w:shd w:val="clear" w:color="auto" w:fill="FFFFFF"/>
        <w:spacing w:before="0" w:beforeAutospacing="0" w:after="0" w:afterAutospacing="0"/>
        <w:jc w:val="both"/>
        <w:rPr>
          <w:color w:val="232323"/>
          <w:sz w:val="20"/>
          <w:szCs w:val="20"/>
        </w:rPr>
      </w:pPr>
      <w:r w:rsidRPr="00054634">
        <w:rPr>
          <w:color w:val="232323"/>
          <w:sz w:val="20"/>
          <w:szCs w:val="20"/>
        </w:rPr>
        <w:t xml:space="preserve">American Society of Transplantation COVID-19 Vaccination </w:t>
      </w:r>
      <w:proofErr w:type="gramStart"/>
      <w:r w:rsidRPr="00054634">
        <w:rPr>
          <w:color w:val="232323"/>
          <w:sz w:val="20"/>
          <w:szCs w:val="20"/>
        </w:rPr>
        <w:t>Guidance .</w:t>
      </w:r>
      <w:proofErr w:type="gramEnd"/>
      <w:r w:rsidRPr="00054634">
        <w:rPr>
          <w:color w:val="232323"/>
          <w:sz w:val="20"/>
          <w:szCs w:val="20"/>
        </w:rPr>
        <w:t xml:space="preserve"> http://www.myast.org/sites/default/files/AST-COVID-PtVaccine-3.18.21-final.pdf (Accessed on March 21, 2021).</w:t>
      </w:r>
    </w:p>
    <w:p w14:paraId="0BC1024C" w14:textId="77777777" w:rsidR="00A644E9" w:rsidRPr="00054634" w:rsidRDefault="00A644E9" w:rsidP="003D1F18">
      <w:pPr>
        <w:pStyle w:val="ListParagraph"/>
        <w:numPr>
          <w:ilvl w:val="0"/>
          <w:numId w:val="26"/>
        </w:numPr>
        <w:spacing w:after="0" w:line="240" w:lineRule="auto"/>
        <w:jc w:val="both"/>
        <w:rPr>
          <w:rFonts w:ascii="Times New Roman" w:hAnsi="Times New Roman" w:cs="Times New Roman"/>
          <w:sz w:val="20"/>
          <w:szCs w:val="20"/>
        </w:rPr>
      </w:pPr>
      <w:r w:rsidRPr="00054634">
        <w:rPr>
          <w:rFonts w:ascii="Times New Roman" w:hAnsi="Times New Roman" w:cs="Times New Roman"/>
          <w:sz w:val="20"/>
          <w:szCs w:val="20"/>
        </w:rPr>
        <w:t xml:space="preserve">UpToDate, </w:t>
      </w:r>
      <w:r w:rsidRPr="00054634">
        <w:rPr>
          <w:rFonts w:ascii="Times New Roman" w:hAnsi="Times New Roman" w:cs="Times New Roman"/>
          <w:color w:val="232323"/>
          <w:sz w:val="20"/>
          <w:szCs w:val="20"/>
          <w:shd w:val="clear" w:color="auto" w:fill="FFFFFF"/>
        </w:rPr>
        <w:t xml:space="preserve">COVID-19: Issues related to solid organ transplantation, last update July, 2021. </w:t>
      </w:r>
    </w:p>
    <w:p w14:paraId="0681C1CE" w14:textId="77777777" w:rsidR="00A644E9" w:rsidRPr="00054634" w:rsidRDefault="00A644E9" w:rsidP="003D1F18">
      <w:pPr>
        <w:pStyle w:val="ListParagraph"/>
        <w:numPr>
          <w:ilvl w:val="0"/>
          <w:numId w:val="26"/>
        </w:numPr>
        <w:spacing w:after="0" w:line="240" w:lineRule="auto"/>
        <w:jc w:val="both"/>
        <w:rPr>
          <w:rFonts w:ascii="Times New Roman" w:hAnsi="Times New Roman" w:cs="Times New Roman"/>
          <w:sz w:val="20"/>
          <w:szCs w:val="20"/>
        </w:rPr>
      </w:pPr>
      <w:r w:rsidRPr="00054634">
        <w:rPr>
          <w:rFonts w:ascii="Times New Roman" w:hAnsi="Times New Roman" w:cs="Times New Roman"/>
          <w:sz w:val="20"/>
          <w:szCs w:val="20"/>
        </w:rPr>
        <w:t>https://www.canada.ca/en/public-health/services/immunization/national-advisory-committee-on-immunization-naci/recommendations-use-covid-19-vaccines.html</w:t>
      </w:r>
    </w:p>
    <w:p w14:paraId="2F2BE09F" w14:textId="77777777" w:rsidR="00A644E9" w:rsidRPr="003D1F18" w:rsidRDefault="00A644E9" w:rsidP="001022EC">
      <w:pPr>
        <w:ind w:left="360"/>
        <w:rPr>
          <w:rFonts w:ascii="Times New Roman" w:hAnsi="Times New Roman" w:cs="Times New Roman"/>
          <w:sz w:val="20"/>
          <w:szCs w:val="20"/>
        </w:rPr>
      </w:pPr>
    </w:p>
    <w:sectPr w:rsidR="00A644E9" w:rsidRPr="003D1F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7E28" w14:textId="77777777" w:rsidR="00783387" w:rsidRDefault="00783387" w:rsidP="00553ED1">
      <w:pPr>
        <w:spacing w:after="0" w:line="240" w:lineRule="auto"/>
      </w:pPr>
      <w:r>
        <w:separator/>
      </w:r>
    </w:p>
  </w:endnote>
  <w:endnote w:type="continuationSeparator" w:id="0">
    <w:p w14:paraId="503A9873" w14:textId="77777777" w:rsidR="00783387" w:rsidRDefault="00783387" w:rsidP="0055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F2DC" w14:textId="77777777" w:rsidR="00783387" w:rsidRDefault="00783387" w:rsidP="00553ED1">
      <w:pPr>
        <w:spacing w:after="0" w:line="240" w:lineRule="auto"/>
      </w:pPr>
      <w:r>
        <w:separator/>
      </w:r>
    </w:p>
  </w:footnote>
  <w:footnote w:type="continuationSeparator" w:id="0">
    <w:p w14:paraId="7D3DF382" w14:textId="77777777" w:rsidR="00783387" w:rsidRDefault="00783387" w:rsidP="00553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9BBB0"/>
    <w:multiLevelType w:val="hybridMultilevel"/>
    <w:tmpl w:val="FC12C0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04C0D"/>
    <w:multiLevelType w:val="hybridMultilevel"/>
    <w:tmpl w:val="540CD2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9E5CDC"/>
    <w:multiLevelType w:val="multilevel"/>
    <w:tmpl w:val="D2745A3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00ACD"/>
    <w:multiLevelType w:val="hybridMultilevel"/>
    <w:tmpl w:val="49641404"/>
    <w:lvl w:ilvl="0" w:tplc="5546C7AA">
      <w:start w:val="1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E005B6B"/>
    <w:multiLevelType w:val="hybridMultilevel"/>
    <w:tmpl w:val="B3EC0AE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E17A7C"/>
    <w:multiLevelType w:val="multilevel"/>
    <w:tmpl w:val="10E2F692"/>
    <w:lvl w:ilvl="0">
      <w:start w:val="5"/>
      <w:numFmt w:val="decimal"/>
      <w:lvlText w:val="%1."/>
      <w:lvlJc w:val="left"/>
      <w:pPr>
        <w:ind w:left="360" w:hanging="360"/>
      </w:pPr>
      <w:rPr>
        <w:rFonts w:hint="default"/>
      </w:rPr>
    </w:lvl>
    <w:lvl w:ilvl="1">
      <w:start w:val="1"/>
      <w:numFmt w:val="decimal"/>
      <w:suff w:val="space"/>
      <w:lvlText w:val="%1.%2."/>
      <w:lvlJc w:val="left"/>
      <w:pPr>
        <w:ind w:left="0" w:firstLine="43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B44FA"/>
    <w:multiLevelType w:val="hybridMultilevel"/>
    <w:tmpl w:val="DE5C01B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F5712B"/>
    <w:multiLevelType w:val="multilevel"/>
    <w:tmpl w:val="93E2CF70"/>
    <w:lvl w:ilvl="0">
      <w:start w:val="7"/>
      <w:numFmt w:val="decimal"/>
      <w:lvlText w:val="%1."/>
      <w:lvlJc w:val="left"/>
      <w:pPr>
        <w:ind w:left="360" w:hanging="360"/>
      </w:pPr>
      <w:rPr>
        <w:rFonts w:hint="default"/>
        <w:b w:val="0"/>
      </w:rPr>
    </w:lvl>
    <w:lvl w:ilvl="1">
      <w:start w:val="3"/>
      <w:numFmt w:val="decimal"/>
      <w:lvlText w:val="%1.%2."/>
      <w:lvlJc w:val="left"/>
      <w:pPr>
        <w:ind w:left="1152" w:hanging="360"/>
      </w:pPr>
      <w:rPr>
        <w:rFonts w:hint="default"/>
        <w:b w:val="0"/>
        <w:bCs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8" w15:restartNumberingAfterBreak="0">
    <w:nsid w:val="15D659E1"/>
    <w:multiLevelType w:val="multilevel"/>
    <w:tmpl w:val="4C8AAEEC"/>
    <w:lvl w:ilvl="0">
      <w:start w:val="4"/>
      <w:numFmt w:val="decimal"/>
      <w:lvlText w:val="%1."/>
      <w:lvlJc w:val="left"/>
      <w:pPr>
        <w:ind w:left="360" w:hanging="360"/>
      </w:pPr>
      <w:rPr>
        <w:rFonts w:hint="default"/>
      </w:rPr>
    </w:lvl>
    <w:lvl w:ilvl="1">
      <w:start w:val="1"/>
      <w:numFmt w:val="decimal"/>
      <w:suff w:val="space"/>
      <w:lvlText w:val="%1.%2."/>
      <w:lvlJc w:val="left"/>
      <w:pPr>
        <w:ind w:left="0" w:firstLine="43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F22B66"/>
    <w:multiLevelType w:val="multilevel"/>
    <w:tmpl w:val="49024B24"/>
    <w:lvl w:ilvl="0">
      <w:start w:val="6"/>
      <w:numFmt w:val="decimal"/>
      <w:lvlText w:val="%1."/>
      <w:lvlJc w:val="left"/>
      <w:pPr>
        <w:ind w:left="360" w:hanging="360"/>
      </w:pPr>
      <w:rPr>
        <w:rFonts w:hint="default"/>
      </w:rPr>
    </w:lvl>
    <w:lvl w:ilvl="1">
      <w:start w:val="1"/>
      <w:numFmt w:val="decimal"/>
      <w:suff w:val="space"/>
      <w:lvlText w:val="%1.%2."/>
      <w:lvlJc w:val="left"/>
      <w:pPr>
        <w:ind w:left="0" w:firstLine="43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E7B7C"/>
    <w:multiLevelType w:val="multilevel"/>
    <w:tmpl w:val="18582AAA"/>
    <w:lvl w:ilvl="0">
      <w:start w:val="1"/>
      <w:numFmt w:val="decimal"/>
      <w:lvlText w:val="%1."/>
      <w:lvlJc w:val="left"/>
      <w:pPr>
        <w:ind w:left="360" w:hanging="360"/>
      </w:pPr>
      <w:rPr>
        <w:rFonts w:hint="default"/>
      </w:rPr>
    </w:lvl>
    <w:lvl w:ilvl="1">
      <w:start w:val="1"/>
      <w:numFmt w:val="decimal"/>
      <w:suff w:val="space"/>
      <w:lvlText w:val="%1.%2."/>
      <w:lvlJc w:val="left"/>
      <w:pPr>
        <w:ind w:left="-7" w:firstLine="43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F083E"/>
    <w:multiLevelType w:val="hybridMultilevel"/>
    <w:tmpl w:val="91E2174C"/>
    <w:lvl w:ilvl="0" w:tplc="3C001B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6D4060"/>
    <w:multiLevelType w:val="multilevel"/>
    <w:tmpl w:val="9604C158"/>
    <w:lvl w:ilvl="0">
      <w:start w:val="3"/>
      <w:numFmt w:val="decimal"/>
      <w:lvlText w:val="%1."/>
      <w:lvlJc w:val="left"/>
      <w:pPr>
        <w:ind w:left="360" w:hanging="360"/>
      </w:pPr>
      <w:rPr>
        <w:rFonts w:hint="default"/>
      </w:rPr>
    </w:lvl>
    <w:lvl w:ilvl="1">
      <w:start w:val="1"/>
      <w:numFmt w:val="decimal"/>
      <w:suff w:val="space"/>
      <w:lvlText w:val="%1.%2."/>
      <w:lvlJc w:val="left"/>
      <w:pPr>
        <w:ind w:left="0" w:firstLine="43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23DC2"/>
    <w:multiLevelType w:val="multilevel"/>
    <w:tmpl w:val="AF4C6932"/>
    <w:lvl w:ilvl="0">
      <w:start w:val="5"/>
      <w:numFmt w:val="decimal"/>
      <w:lvlText w:val="%1."/>
      <w:lvlJc w:val="left"/>
      <w:pPr>
        <w:ind w:left="360" w:hanging="360"/>
      </w:pPr>
      <w:rPr>
        <w:rFonts w:hint="default"/>
      </w:rPr>
    </w:lvl>
    <w:lvl w:ilvl="1">
      <w:start w:val="1"/>
      <w:numFmt w:val="decimal"/>
      <w:suff w:val="space"/>
      <w:lvlText w:val="%1.%2."/>
      <w:lvlJc w:val="left"/>
      <w:pPr>
        <w:ind w:left="0" w:firstLine="432"/>
      </w:pPr>
      <w:rPr>
        <w:rFonts w:hint="default"/>
        <w:b/>
        <w:bCs/>
      </w:rPr>
    </w:lvl>
    <w:lvl w:ilvl="2">
      <w:start w:val="1"/>
      <w:numFmt w:val="decimal"/>
      <w:suff w:val="space"/>
      <w:lvlText w:val="%1.%2.%3."/>
      <w:lvlJc w:val="left"/>
      <w:pPr>
        <w:ind w:left="576" w:firstLine="288"/>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71A8D"/>
    <w:multiLevelType w:val="hybridMultilevel"/>
    <w:tmpl w:val="FE246A22"/>
    <w:lvl w:ilvl="0" w:tplc="87845E8E">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DD0899"/>
    <w:multiLevelType w:val="hybridMultilevel"/>
    <w:tmpl w:val="EE0274D8"/>
    <w:lvl w:ilvl="0" w:tplc="CEF2B43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5D021D"/>
    <w:multiLevelType w:val="hybridMultilevel"/>
    <w:tmpl w:val="641633E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E150727"/>
    <w:multiLevelType w:val="hybridMultilevel"/>
    <w:tmpl w:val="308267D8"/>
    <w:lvl w:ilvl="0" w:tplc="6B2C11FC">
      <w:start w:val="7"/>
      <w:numFmt w:val="decimal"/>
      <w:lvlText w:val="%1.2."/>
      <w:lvlJc w:val="lef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A437C0"/>
    <w:multiLevelType w:val="hybridMultilevel"/>
    <w:tmpl w:val="E9D8B4D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D">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5007E8B"/>
    <w:multiLevelType w:val="hybridMultilevel"/>
    <w:tmpl w:val="C9DA25BC"/>
    <w:lvl w:ilvl="0" w:tplc="203C24A2">
      <w:start w:val="7"/>
      <w:numFmt w:val="decimal"/>
      <w:lvlText w:val="%1.2."/>
      <w:lvlJc w:val="left"/>
      <w:pPr>
        <w:ind w:left="1152"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8C69FA"/>
    <w:multiLevelType w:val="multilevel"/>
    <w:tmpl w:val="C5CE1F72"/>
    <w:lvl w:ilvl="0">
      <w:start w:val="7"/>
      <w:numFmt w:val="decimal"/>
      <w:lvlText w:val="%1."/>
      <w:lvlJc w:val="left"/>
      <w:pPr>
        <w:ind w:left="360" w:hanging="360"/>
      </w:pPr>
      <w:rPr>
        <w:rFonts w:hint="default"/>
      </w:rPr>
    </w:lvl>
    <w:lvl w:ilvl="1">
      <w:start w:val="1"/>
      <w:numFmt w:val="decimal"/>
      <w:suff w:val="space"/>
      <w:lvlText w:val="%1.%2."/>
      <w:lvlJc w:val="left"/>
      <w:pPr>
        <w:ind w:left="0" w:firstLine="43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EF2FF2"/>
    <w:multiLevelType w:val="hybridMultilevel"/>
    <w:tmpl w:val="0D4C7BBA"/>
    <w:lvl w:ilvl="0" w:tplc="4BBCD76A">
      <w:start w:val="8"/>
      <w:numFmt w:val="lowerLetter"/>
      <w:lvlText w:val="%1."/>
      <w:lvlJc w:val="left"/>
      <w:pPr>
        <w:ind w:left="144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CB1261"/>
    <w:multiLevelType w:val="multilevel"/>
    <w:tmpl w:val="636E0722"/>
    <w:lvl w:ilvl="0">
      <w:start w:val="2"/>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3" w15:restartNumberingAfterBreak="0">
    <w:nsid w:val="48E65821"/>
    <w:multiLevelType w:val="hybridMultilevel"/>
    <w:tmpl w:val="B852BC9C"/>
    <w:lvl w:ilvl="0" w:tplc="04260011">
      <w:start w:val="1"/>
      <w:numFmt w:val="decimal"/>
      <w:lvlText w:val="%1)"/>
      <w:lvlJc w:val="left"/>
      <w:pPr>
        <w:ind w:left="0" w:firstLine="288"/>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3A358E8"/>
    <w:multiLevelType w:val="hybridMultilevel"/>
    <w:tmpl w:val="17C65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B3C66DD"/>
    <w:multiLevelType w:val="hybridMultilevel"/>
    <w:tmpl w:val="019ABBD4"/>
    <w:lvl w:ilvl="0" w:tplc="C69CDC8A">
      <w:numFmt w:val="bullet"/>
      <w:suff w:val="space"/>
      <w:lvlText w:val=""/>
      <w:lvlJc w:val="left"/>
      <w:pPr>
        <w:ind w:left="0" w:firstLine="288"/>
      </w:pPr>
      <w:rPr>
        <w:rFonts w:ascii="Symbol" w:eastAsiaTheme="minorHAns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D666C07"/>
    <w:multiLevelType w:val="multilevel"/>
    <w:tmpl w:val="68DAD9C6"/>
    <w:lvl w:ilvl="0">
      <w:start w:val="5"/>
      <w:numFmt w:val="decimal"/>
      <w:lvlText w:val="%1."/>
      <w:lvlJc w:val="left"/>
      <w:pPr>
        <w:ind w:left="360" w:hanging="360"/>
      </w:pPr>
      <w:rPr>
        <w:rFonts w:hint="default"/>
      </w:rPr>
    </w:lvl>
    <w:lvl w:ilvl="1">
      <w:start w:val="1"/>
      <w:numFmt w:val="decimal"/>
      <w:suff w:val="space"/>
      <w:lvlText w:val="%1.%2."/>
      <w:lvlJc w:val="left"/>
      <w:pPr>
        <w:ind w:left="405" w:firstLine="43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91146"/>
    <w:multiLevelType w:val="multilevel"/>
    <w:tmpl w:val="BD58641E"/>
    <w:lvl w:ilvl="0">
      <w:start w:val="2"/>
      <w:numFmt w:val="decimal"/>
      <w:lvlText w:val="%1."/>
      <w:lvlJc w:val="left"/>
      <w:pPr>
        <w:ind w:left="360" w:hanging="360"/>
      </w:pPr>
      <w:rPr>
        <w:rFonts w:hint="default"/>
      </w:rPr>
    </w:lvl>
    <w:lvl w:ilvl="1">
      <w:start w:val="1"/>
      <w:numFmt w:val="decimal"/>
      <w:suff w:val="space"/>
      <w:lvlText w:val="%1.%2."/>
      <w:lvlJc w:val="left"/>
      <w:pPr>
        <w:ind w:left="0" w:firstLine="43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5D109F"/>
    <w:multiLevelType w:val="hybridMultilevel"/>
    <w:tmpl w:val="693EFD74"/>
    <w:lvl w:ilvl="0" w:tplc="99C6A722">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E20534"/>
    <w:multiLevelType w:val="multilevel"/>
    <w:tmpl w:val="EF10D430"/>
    <w:lvl w:ilvl="0">
      <w:start w:val="8"/>
      <w:numFmt w:val="decimal"/>
      <w:lvlText w:val="%1.1."/>
      <w:lvlJc w:val="left"/>
      <w:pPr>
        <w:ind w:left="360" w:hanging="360"/>
      </w:pPr>
      <w:rPr>
        <w:rFonts w:hint="default"/>
      </w:rPr>
    </w:lvl>
    <w:lvl w:ilvl="1">
      <w:start w:val="1"/>
      <w:numFmt w:val="decimal"/>
      <w:suff w:val="space"/>
      <w:lvlText w:val="%1.%2."/>
      <w:lvlJc w:val="left"/>
      <w:pPr>
        <w:ind w:left="0" w:firstLine="43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AB00A6"/>
    <w:multiLevelType w:val="hybridMultilevel"/>
    <w:tmpl w:val="EE605FF0"/>
    <w:lvl w:ilvl="0" w:tplc="B818E5F0">
      <w:start w:val="1"/>
      <w:numFmt w:val="decimal"/>
      <w:suff w:val="space"/>
      <w:lvlText w:val="%1."/>
      <w:lvlJc w:val="left"/>
      <w:pPr>
        <w:ind w:left="0" w:firstLine="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B418C9"/>
    <w:multiLevelType w:val="hybridMultilevel"/>
    <w:tmpl w:val="E3DC1FE2"/>
    <w:lvl w:ilvl="0" w:tplc="823E1BC0">
      <w:start w:val="6"/>
      <w:numFmt w:val="decimal"/>
      <w:lvlText w:val="%1.2."/>
      <w:lvlJc w:val="lef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C80B19"/>
    <w:multiLevelType w:val="multilevel"/>
    <w:tmpl w:val="7A6853CA"/>
    <w:lvl w:ilvl="0">
      <w:start w:val="8"/>
      <w:numFmt w:val="decimal"/>
      <w:lvlText w:val="%1.1."/>
      <w:lvlJc w:val="left"/>
      <w:pPr>
        <w:ind w:left="360" w:hanging="360"/>
      </w:pPr>
      <w:rPr>
        <w:rFonts w:hint="default"/>
      </w:rPr>
    </w:lvl>
    <w:lvl w:ilvl="1">
      <w:start w:val="1"/>
      <w:numFmt w:val="decimal"/>
      <w:suff w:val="space"/>
      <w:lvlText w:val="%1.%2."/>
      <w:lvlJc w:val="left"/>
      <w:pPr>
        <w:ind w:left="0" w:firstLine="43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B73902"/>
    <w:multiLevelType w:val="hybridMultilevel"/>
    <w:tmpl w:val="949A5884"/>
    <w:lvl w:ilvl="0" w:tplc="996423B2">
      <w:start w:val="7"/>
      <w:numFmt w:val="decimal"/>
      <w:lvlText w:val="%1.2."/>
      <w:lvlJc w:val="lef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39F6E33"/>
    <w:multiLevelType w:val="hybridMultilevel"/>
    <w:tmpl w:val="AA82C520"/>
    <w:lvl w:ilvl="0" w:tplc="1178959A">
      <w:start w:val="7"/>
      <w:numFmt w:val="decimal"/>
      <w:lvlText w:val="%1.1."/>
      <w:lvlJc w:val="left"/>
      <w:pPr>
        <w:ind w:left="1152"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613B2A"/>
    <w:multiLevelType w:val="multilevel"/>
    <w:tmpl w:val="D2745A3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D90D1C"/>
    <w:multiLevelType w:val="hybridMultilevel"/>
    <w:tmpl w:val="39A261C8"/>
    <w:lvl w:ilvl="0" w:tplc="B818E5F0">
      <w:start w:val="1"/>
      <w:numFmt w:val="decimal"/>
      <w:suff w:val="space"/>
      <w:lvlText w:val="%1."/>
      <w:lvlJc w:val="left"/>
      <w:pPr>
        <w:ind w:left="0" w:firstLine="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83F599B"/>
    <w:multiLevelType w:val="hybridMultilevel"/>
    <w:tmpl w:val="8D3A5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89548B5"/>
    <w:multiLevelType w:val="multilevel"/>
    <w:tmpl w:val="BE2A0B92"/>
    <w:lvl w:ilvl="0">
      <w:start w:val="1"/>
      <w:numFmt w:val="decimal"/>
      <w:lvlText w:val="%1."/>
      <w:lvlJc w:val="left"/>
      <w:pPr>
        <w:ind w:left="360" w:hanging="360"/>
      </w:pPr>
    </w:lvl>
    <w:lvl w:ilvl="1">
      <w:start w:val="1"/>
      <w:numFmt w:val="decimal"/>
      <w:suff w:val="space"/>
      <w:lvlText w:val="%1.%2."/>
      <w:lvlJc w:val="left"/>
      <w:pPr>
        <w:ind w:left="0" w:firstLine="432"/>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BD14D52"/>
    <w:multiLevelType w:val="hybridMultilevel"/>
    <w:tmpl w:val="148ED472"/>
    <w:lvl w:ilvl="0" w:tplc="C69CDC8A">
      <w:numFmt w:val="bullet"/>
      <w:suff w:val="space"/>
      <w:lvlText w:val=""/>
      <w:lvlJc w:val="left"/>
      <w:pPr>
        <w:ind w:left="0" w:firstLine="288"/>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D6E9FD5"/>
    <w:multiLevelType w:val="hybridMultilevel"/>
    <w:tmpl w:val="4D65B8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E240B81"/>
    <w:multiLevelType w:val="multilevel"/>
    <w:tmpl w:val="1376F67A"/>
    <w:lvl w:ilvl="0">
      <w:start w:val="5"/>
      <w:numFmt w:val="decimal"/>
      <w:lvlText w:val="%1."/>
      <w:lvlJc w:val="left"/>
      <w:pPr>
        <w:ind w:left="360" w:hanging="360"/>
      </w:pPr>
      <w:rPr>
        <w:rFonts w:hint="default"/>
      </w:rPr>
    </w:lvl>
    <w:lvl w:ilvl="1">
      <w:start w:val="1"/>
      <w:numFmt w:val="decimal"/>
      <w:suff w:val="space"/>
      <w:lvlText w:val="%1.%2."/>
      <w:lvlJc w:val="left"/>
      <w:pPr>
        <w:ind w:left="0" w:firstLine="432"/>
      </w:pPr>
      <w:rPr>
        <w:rFonts w:hint="default"/>
        <w:b/>
        <w:bCs/>
      </w:rPr>
    </w:lvl>
    <w:lvl w:ilvl="2">
      <w:start w:val="5"/>
      <w:numFmt w:val="decimal"/>
      <w:lvlText w:val="%3.2..1."/>
      <w:lvlJc w:val="left"/>
      <w:pPr>
        <w:ind w:left="576" w:firstLine="288"/>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5"/>
  </w:num>
  <w:num w:numId="7">
    <w:abstractNumId w:val="23"/>
  </w:num>
  <w:num w:numId="8">
    <w:abstractNumId w:val="39"/>
  </w:num>
  <w:num w:numId="9">
    <w:abstractNumId w:val="25"/>
  </w:num>
  <w:num w:numId="10">
    <w:abstractNumId w:val="12"/>
  </w:num>
  <w:num w:numId="11">
    <w:abstractNumId w:val="13"/>
  </w:num>
  <w:num w:numId="12">
    <w:abstractNumId w:val="10"/>
  </w:num>
  <w:num w:numId="13">
    <w:abstractNumId w:val="11"/>
  </w:num>
  <w:num w:numId="14">
    <w:abstractNumId w:val="0"/>
  </w:num>
  <w:num w:numId="15">
    <w:abstractNumId w:val="28"/>
  </w:num>
  <w:num w:numId="16">
    <w:abstractNumId w:val="3"/>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
  </w:num>
  <w:num w:numId="21">
    <w:abstractNumId w:val="15"/>
  </w:num>
  <w:num w:numId="22">
    <w:abstractNumId w:val="26"/>
  </w:num>
  <w:num w:numId="23">
    <w:abstractNumId w:val="5"/>
  </w:num>
  <w:num w:numId="24">
    <w:abstractNumId w:val="8"/>
  </w:num>
  <w:num w:numId="25">
    <w:abstractNumId w:val="27"/>
  </w:num>
  <w:num w:numId="26">
    <w:abstractNumId w:val="30"/>
  </w:num>
  <w:num w:numId="27">
    <w:abstractNumId w:val="36"/>
  </w:num>
  <w:num w:numId="28">
    <w:abstractNumId w:val="20"/>
  </w:num>
  <w:num w:numId="29">
    <w:abstractNumId w:val="41"/>
  </w:num>
  <w:num w:numId="30">
    <w:abstractNumId w:val="34"/>
  </w:num>
  <w:num w:numId="31">
    <w:abstractNumId w:val="31"/>
  </w:num>
  <w:num w:numId="32">
    <w:abstractNumId w:val="16"/>
  </w:num>
  <w:num w:numId="33">
    <w:abstractNumId w:val="18"/>
  </w:num>
  <w:num w:numId="34">
    <w:abstractNumId w:val="19"/>
  </w:num>
  <w:num w:numId="35">
    <w:abstractNumId w:val="21"/>
  </w:num>
  <w:num w:numId="36">
    <w:abstractNumId w:val="32"/>
  </w:num>
  <w:num w:numId="37">
    <w:abstractNumId w:val="29"/>
  </w:num>
  <w:num w:numId="38">
    <w:abstractNumId w:val="4"/>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7"/>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6A"/>
    <w:rsid w:val="00054634"/>
    <w:rsid w:val="001022EC"/>
    <w:rsid w:val="00114A89"/>
    <w:rsid w:val="0016087D"/>
    <w:rsid w:val="00172158"/>
    <w:rsid w:val="001E3FC8"/>
    <w:rsid w:val="00214581"/>
    <w:rsid w:val="00267F52"/>
    <w:rsid w:val="00292309"/>
    <w:rsid w:val="002C0C62"/>
    <w:rsid w:val="002E54F1"/>
    <w:rsid w:val="00346F65"/>
    <w:rsid w:val="00387859"/>
    <w:rsid w:val="003D1F18"/>
    <w:rsid w:val="00436E10"/>
    <w:rsid w:val="004D05C6"/>
    <w:rsid w:val="004F34C7"/>
    <w:rsid w:val="00553ED1"/>
    <w:rsid w:val="006230E7"/>
    <w:rsid w:val="006F6A0C"/>
    <w:rsid w:val="007626A3"/>
    <w:rsid w:val="00783387"/>
    <w:rsid w:val="00847863"/>
    <w:rsid w:val="008B4714"/>
    <w:rsid w:val="00A013A7"/>
    <w:rsid w:val="00A14A90"/>
    <w:rsid w:val="00A54522"/>
    <w:rsid w:val="00A644E9"/>
    <w:rsid w:val="00A97A63"/>
    <w:rsid w:val="00AD7DA4"/>
    <w:rsid w:val="00B07F74"/>
    <w:rsid w:val="00BB0AC9"/>
    <w:rsid w:val="00BC5BDE"/>
    <w:rsid w:val="00C27EAE"/>
    <w:rsid w:val="00CA5F6A"/>
    <w:rsid w:val="00D06C0E"/>
    <w:rsid w:val="00D25F3F"/>
    <w:rsid w:val="00DB1E32"/>
    <w:rsid w:val="00E41B52"/>
    <w:rsid w:val="00E6508B"/>
    <w:rsid w:val="00E82910"/>
    <w:rsid w:val="00E97136"/>
    <w:rsid w:val="00E97D32"/>
    <w:rsid w:val="00EF0EE2"/>
    <w:rsid w:val="00F44C3E"/>
    <w:rsid w:val="00FF6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4882"/>
  <w15:chartTrackingRefBased/>
  <w15:docId w15:val="{3803AFF8-19E3-4DA2-BA6C-E9579312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F6A"/>
    <w:rPr>
      <w:color w:val="0563C1" w:themeColor="hyperlink"/>
      <w:u w:val="single"/>
    </w:rPr>
  </w:style>
  <w:style w:type="paragraph" w:styleId="ListParagraph">
    <w:name w:val="List Paragraph"/>
    <w:basedOn w:val="Normal"/>
    <w:uiPriority w:val="34"/>
    <w:qFormat/>
    <w:rsid w:val="00CA5F6A"/>
    <w:pPr>
      <w:ind w:left="720"/>
      <w:contextualSpacing/>
    </w:pPr>
  </w:style>
  <w:style w:type="paragraph" w:customStyle="1" w:styleId="Default">
    <w:name w:val="Default"/>
    <w:rsid w:val="00CA5F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53ED1"/>
    <w:pPr>
      <w:spacing w:after="0" w:line="240" w:lineRule="auto"/>
    </w:pPr>
    <w:rPr>
      <w:rFonts w:ascii="Calibri" w:hAnsi="Calibri" w:cs="Calibri"/>
      <w:lang w:eastAsia="lv-LV"/>
    </w:rPr>
  </w:style>
  <w:style w:type="paragraph" w:styleId="Header">
    <w:name w:val="header"/>
    <w:basedOn w:val="Normal"/>
    <w:link w:val="HeaderChar"/>
    <w:uiPriority w:val="99"/>
    <w:unhideWhenUsed/>
    <w:rsid w:val="00553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ED1"/>
  </w:style>
  <w:style w:type="paragraph" w:styleId="Footer">
    <w:name w:val="footer"/>
    <w:basedOn w:val="Normal"/>
    <w:link w:val="FooterChar"/>
    <w:uiPriority w:val="99"/>
    <w:unhideWhenUsed/>
    <w:rsid w:val="00553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ED1"/>
  </w:style>
  <w:style w:type="paragraph" w:styleId="FootnoteText">
    <w:name w:val="footnote text"/>
    <w:basedOn w:val="Normal"/>
    <w:link w:val="FootnoteTextChar"/>
    <w:uiPriority w:val="99"/>
    <w:semiHidden/>
    <w:unhideWhenUsed/>
    <w:rsid w:val="00B07F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F74"/>
    <w:rPr>
      <w:sz w:val="20"/>
      <w:szCs w:val="20"/>
    </w:rPr>
  </w:style>
  <w:style w:type="character" w:styleId="FootnoteReference">
    <w:name w:val="footnote reference"/>
    <w:basedOn w:val="DefaultParagraphFont"/>
    <w:uiPriority w:val="99"/>
    <w:semiHidden/>
    <w:unhideWhenUsed/>
    <w:rsid w:val="00B07F74"/>
    <w:rPr>
      <w:vertAlign w:val="superscript"/>
    </w:rPr>
  </w:style>
  <w:style w:type="character" w:customStyle="1" w:styleId="UnresolvedMention1">
    <w:name w:val="Unresolved Mention1"/>
    <w:basedOn w:val="DefaultParagraphFont"/>
    <w:uiPriority w:val="99"/>
    <w:semiHidden/>
    <w:unhideWhenUsed/>
    <w:rsid w:val="001022EC"/>
    <w:rPr>
      <w:color w:val="605E5C"/>
      <w:shd w:val="clear" w:color="auto" w:fill="E1DFDD"/>
    </w:rPr>
  </w:style>
  <w:style w:type="paragraph" w:customStyle="1" w:styleId="breakall">
    <w:name w:val="breakall"/>
    <w:basedOn w:val="Normal"/>
    <w:rsid w:val="00A644E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292309"/>
    <w:rPr>
      <w:sz w:val="16"/>
      <w:szCs w:val="16"/>
    </w:rPr>
  </w:style>
  <w:style w:type="paragraph" w:styleId="CommentText">
    <w:name w:val="annotation text"/>
    <w:basedOn w:val="Normal"/>
    <w:link w:val="CommentTextChar"/>
    <w:uiPriority w:val="99"/>
    <w:semiHidden/>
    <w:unhideWhenUsed/>
    <w:rsid w:val="00292309"/>
    <w:pPr>
      <w:spacing w:line="240" w:lineRule="auto"/>
    </w:pPr>
    <w:rPr>
      <w:sz w:val="20"/>
      <w:szCs w:val="20"/>
    </w:rPr>
  </w:style>
  <w:style w:type="character" w:customStyle="1" w:styleId="CommentTextChar">
    <w:name w:val="Comment Text Char"/>
    <w:basedOn w:val="DefaultParagraphFont"/>
    <w:link w:val="CommentText"/>
    <w:uiPriority w:val="99"/>
    <w:semiHidden/>
    <w:rsid w:val="00292309"/>
    <w:rPr>
      <w:sz w:val="20"/>
      <w:szCs w:val="20"/>
    </w:rPr>
  </w:style>
  <w:style w:type="paragraph" w:styleId="CommentSubject">
    <w:name w:val="annotation subject"/>
    <w:basedOn w:val="CommentText"/>
    <w:next w:val="CommentText"/>
    <w:link w:val="CommentSubjectChar"/>
    <w:uiPriority w:val="99"/>
    <w:semiHidden/>
    <w:unhideWhenUsed/>
    <w:rsid w:val="00292309"/>
    <w:rPr>
      <w:b/>
      <w:bCs/>
    </w:rPr>
  </w:style>
  <w:style w:type="character" w:customStyle="1" w:styleId="CommentSubjectChar">
    <w:name w:val="Comment Subject Char"/>
    <w:basedOn w:val="CommentTextChar"/>
    <w:link w:val="CommentSubject"/>
    <w:uiPriority w:val="99"/>
    <w:semiHidden/>
    <w:rsid w:val="00292309"/>
    <w:rPr>
      <w:b/>
      <w:bCs/>
      <w:sz w:val="20"/>
      <w:szCs w:val="20"/>
    </w:rPr>
  </w:style>
  <w:style w:type="paragraph" w:styleId="BalloonText">
    <w:name w:val="Balloon Text"/>
    <w:basedOn w:val="Normal"/>
    <w:link w:val="BalloonTextChar"/>
    <w:uiPriority w:val="99"/>
    <w:semiHidden/>
    <w:unhideWhenUsed/>
    <w:rsid w:val="00292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6959">
      <w:bodyDiv w:val="1"/>
      <w:marLeft w:val="0"/>
      <w:marRight w:val="0"/>
      <w:marTop w:val="0"/>
      <w:marBottom w:val="0"/>
      <w:divBdr>
        <w:top w:val="none" w:sz="0" w:space="0" w:color="auto"/>
        <w:left w:val="none" w:sz="0" w:space="0" w:color="auto"/>
        <w:bottom w:val="none" w:sz="0" w:space="0" w:color="auto"/>
        <w:right w:val="none" w:sz="0" w:space="0" w:color="auto"/>
      </w:divBdr>
    </w:div>
    <w:div w:id="376586510">
      <w:bodyDiv w:val="1"/>
      <w:marLeft w:val="0"/>
      <w:marRight w:val="0"/>
      <w:marTop w:val="0"/>
      <w:marBottom w:val="0"/>
      <w:divBdr>
        <w:top w:val="none" w:sz="0" w:space="0" w:color="auto"/>
        <w:left w:val="none" w:sz="0" w:space="0" w:color="auto"/>
        <w:bottom w:val="none" w:sz="0" w:space="0" w:color="auto"/>
        <w:right w:val="none" w:sz="0" w:space="0" w:color="auto"/>
      </w:divBdr>
    </w:div>
    <w:div w:id="1297880319">
      <w:bodyDiv w:val="1"/>
      <w:marLeft w:val="0"/>
      <w:marRight w:val="0"/>
      <w:marTop w:val="0"/>
      <w:marBottom w:val="0"/>
      <w:divBdr>
        <w:top w:val="none" w:sz="0" w:space="0" w:color="auto"/>
        <w:left w:val="none" w:sz="0" w:space="0" w:color="auto"/>
        <w:bottom w:val="none" w:sz="0" w:space="0" w:color="auto"/>
        <w:right w:val="none" w:sz="0" w:space="0" w:color="auto"/>
      </w:divBdr>
    </w:div>
    <w:div w:id="13591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matology.org/covid-19/ash-astct-covid-19-and-vacc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heumatology.org/Portals/0/Files/COVID-19-Vaccine-Clinical-Guidance-Rheumatic-Diseases-Summary.pdf" TargetMode="External"/><Relationship Id="rId4" Type="http://schemas.openxmlformats.org/officeDocument/2006/relationships/settings" Target="settings.xml"/><Relationship Id="rId9" Type="http://schemas.openxmlformats.org/officeDocument/2006/relationships/hyperlink" Target="https://www.nccn.org/docs/default-source/covid-19/2021_covid-19_vaccination_guidance_v3-0.pdf?sfvrsn=b483da2b_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E1B2-436D-4CF6-A20C-9D6D48C3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6841</Words>
  <Characters>3900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Reinholde</dc:creator>
  <cp:keywords/>
  <dc:description/>
  <cp:lastModifiedBy>Ieva Silionova</cp:lastModifiedBy>
  <cp:revision>7</cp:revision>
  <dcterms:created xsi:type="dcterms:W3CDTF">2021-10-14T10:41:00Z</dcterms:created>
  <dcterms:modified xsi:type="dcterms:W3CDTF">2021-10-18T12:21:00Z</dcterms:modified>
</cp:coreProperties>
</file>