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24CC" w14:textId="77777777" w:rsidR="00025377" w:rsidRDefault="00025377" w:rsidP="00025377">
      <w:pPr>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lv-LV"/>
        </w:rPr>
        <w:t xml:space="preserve">Autopsijas pakalpojuma </w:t>
      </w:r>
      <w:r>
        <w:rPr>
          <w:rFonts w:ascii="Times New Roman" w:hAnsi="Times New Roman" w:cs="Times New Roman"/>
          <w:b/>
          <w:bCs/>
          <w:sz w:val="24"/>
          <w:szCs w:val="24"/>
        </w:rPr>
        <w:t xml:space="preserve">sniegšanas kārtība, </w:t>
      </w:r>
      <w:r>
        <w:rPr>
          <w:rFonts w:ascii="Times New Roman" w:eastAsia="Times New Roman" w:hAnsi="Times New Roman" w:cs="Times New Roman"/>
          <w:b/>
          <w:bCs/>
          <w:sz w:val="24"/>
          <w:szCs w:val="24"/>
          <w:lang w:eastAsia="lv-LV"/>
        </w:rPr>
        <w:t>ja iespējamais nāves cēlonis ir vakcinācija pret COVID-19 infekciju</w:t>
      </w:r>
    </w:p>
    <w:p w14:paraId="6388795A" w14:textId="77777777" w:rsidR="00025377" w:rsidRDefault="00025377" w:rsidP="00025377">
      <w:pPr>
        <w:pStyle w:val="ListParagraph"/>
        <w:numPr>
          <w:ilvl w:val="0"/>
          <w:numId w:val="1"/>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organizē mirušā cilvēka ķermeņa autopsiju, ja ārsts, balstoties uz savām profesionālām aizdomām par iespējamu saistību ar Covid-19 vakcināciju, sniedz Zāļu valsts aģentūrai blakusparādību ziņojumu par pacienta nāvi.</w:t>
      </w:r>
    </w:p>
    <w:p w14:paraId="05A46A55" w14:textId="77777777" w:rsidR="00025377" w:rsidRDefault="00025377" w:rsidP="00025377">
      <w:pPr>
        <w:pStyle w:val="ListParagraph"/>
        <w:numPr>
          <w:ilvl w:val="0"/>
          <w:numId w:val="1"/>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nodrošina koordinācijas tālruņa līniju, pa kuru zvanot ģimenes ārsts vai ārsts, kas konstatējis personas nāvi, piesaka mirušā cilvēka ķermeņa nogādi uz autopsiju (tel.nr. 67 536 036 darba dienās no plkst. 8.00 – 15.30).</w:t>
      </w:r>
    </w:p>
    <w:p w14:paraId="0F90034B" w14:textId="77777777" w:rsidR="00025377" w:rsidRDefault="00025377" w:rsidP="00025377">
      <w:pPr>
        <w:pStyle w:val="ListParagraph"/>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IZPILDĪTĀJS par autopsijas kodēšanu un apmaksu </w:t>
      </w:r>
      <w:r>
        <w:rPr>
          <w:rFonts w:ascii="Times New Roman" w:hAnsi="Times New Roman" w:cs="Times New Roman"/>
          <w:iCs/>
          <w:sz w:val="24"/>
          <w:szCs w:val="24"/>
        </w:rPr>
        <w:t>ievada Vadības informācijas sistēmā veidlapas Nr.024/u „Ambulatorā pacienta talons” informāciju, </w:t>
      </w:r>
      <w:r>
        <w:rPr>
          <w:rFonts w:ascii="Times New Roman" w:hAnsi="Times New Roman" w:cs="Times New Roman"/>
          <w:sz w:val="24"/>
          <w:szCs w:val="24"/>
        </w:rPr>
        <w:t xml:space="preserve">norādot </w:t>
      </w:r>
      <w:r>
        <w:rPr>
          <w:rFonts w:ascii="Times New Roman" w:eastAsia="Times New Roman" w:hAnsi="Times New Roman" w:cs="Times New Roman"/>
          <w:sz w:val="24"/>
          <w:szCs w:val="24"/>
        </w:rPr>
        <w:t xml:space="preserve">pacienta grupu </w:t>
      </w:r>
      <w:r>
        <w:rPr>
          <w:rFonts w:ascii="Times New Roman" w:eastAsia="Times New Roman" w:hAnsi="Times New Roman" w:cs="Times New Roman"/>
          <w:i/>
          <w:iCs/>
          <w:sz w:val="24"/>
          <w:szCs w:val="24"/>
        </w:rPr>
        <w:t>“CM - Pacients, kura miršanas iemesls cēloniski iespējami saistīts ar vakcīnas pret Covid-19 saņemšanu”</w:t>
      </w:r>
      <w:r>
        <w:rPr>
          <w:rFonts w:ascii="Times New Roman" w:eastAsia="Times New Roman" w:hAnsi="Times New Roman" w:cs="Times New Roman"/>
          <w:sz w:val="24"/>
          <w:szCs w:val="24"/>
        </w:rPr>
        <w:t xml:space="preserve"> un </w:t>
      </w:r>
      <w:r>
        <w:rPr>
          <w:rFonts w:ascii="Times New Roman" w:hAnsi="Times New Roman" w:cs="Times New Roman"/>
          <w:sz w:val="24"/>
          <w:szCs w:val="24"/>
        </w:rPr>
        <w:t>kādu no sekojošām manipulācijām:</w:t>
      </w:r>
    </w:p>
    <w:tbl>
      <w:tblPr>
        <w:tblW w:w="9062" w:type="dxa"/>
        <w:jc w:val="center"/>
        <w:tblCellMar>
          <w:left w:w="0" w:type="dxa"/>
          <w:right w:w="0" w:type="dxa"/>
        </w:tblCellMar>
        <w:tblLook w:val="04A0" w:firstRow="1" w:lastRow="0" w:firstColumn="1" w:lastColumn="0" w:noHBand="0" w:noVBand="1"/>
      </w:tblPr>
      <w:tblGrid>
        <w:gridCol w:w="1577"/>
        <w:gridCol w:w="6210"/>
        <w:gridCol w:w="1275"/>
      </w:tblGrid>
      <w:tr w:rsidR="00025377" w14:paraId="1A39E963" w14:textId="77777777" w:rsidTr="00025377">
        <w:trPr>
          <w:trHeight w:val="1138"/>
          <w:jc w:val="center"/>
        </w:trPr>
        <w:tc>
          <w:tcPr>
            <w:tcW w:w="1577" w:type="dxa"/>
            <w:tcBorders>
              <w:top w:val="single" w:sz="8" w:space="0" w:color="auto"/>
              <w:left w:val="single" w:sz="8" w:space="0" w:color="auto"/>
              <w:bottom w:val="single" w:sz="8" w:space="0" w:color="000000"/>
              <w:right w:val="single" w:sz="8" w:space="0" w:color="auto"/>
            </w:tcBorders>
            <w:shd w:val="clear" w:color="auto" w:fill="FCE4D6"/>
            <w:tcMar>
              <w:top w:w="0" w:type="dxa"/>
              <w:left w:w="108" w:type="dxa"/>
              <w:bottom w:w="0" w:type="dxa"/>
              <w:right w:w="108" w:type="dxa"/>
            </w:tcMar>
            <w:vAlign w:val="center"/>
            <w:hideMark/>
          </w:tcPr>
          <w:p w14:paraId="22DB0181" w14:textId="77777777" w:rsidR="00025377" w:rsidRDefault="00025377">
            <w:pPr>
              <w:spacing w:line="276" w:lineRule="auto"/>
              <w:jc w:val="both"/>
              <w:rPr>
                <w:rFonts w:ascii="Times New Roman" w:hAnsi="Times New Roman" w:cs="Times New Roman"/>
                <w:b/>
                <w:bCs/>
                <w:sz w:val="20"/>
                <w:szCs w:val="20"/>
                <w:lang w:eastAsia="lv-LV"/>
              </w:rPr>
            </w:pPr>
            <w:r>
              <w:rPr>
                <w:rFonts w:ascii="Times New Roman" w:hAnsi="Times New Roman" w:cs="Times New Roman"/>
                <w:b/>
                <w:bCs/>
                <w:sz w:val="20"/>
                <w:szCs w:val="20"/>
                <w:lang w:eastAsia="lv-LV"/>
              </w:rPr>
              <w:t>Manipulācijas kods</w:t>
            </w:r>
          </w:p>
        </w:tc>
        <w:tc>
          <w:tcPr>
            <w:tcW w:w="6210" w:type="dxa"/>
            <w:tcBorders>
              <w:top w:val="single" w:sz="8" w:space="0" w:color="auto"/>
              <w:left w:val="nil"/>
              <w:bottom w:val="single" w:sz="8" w:space="0" w:color="000000"/>
              <w:right w:val="single" w:sz="8" w:space="0" w:color="auto"/>
            </w:tcBorders>
            <w:shd w:val="clear" w:color="auto" w:fill="FCE4D6"/>
            <w:tcMar>
              <w:top w:w="0" w:type="dxa"/>
              <w:left w:w="108" w:type="dxa"/>
              <w:bottom w:w="0" w:type="dxa"/>
              <w:right w:w="108" w:type="dxa"/>
            </w:tcMar>
            <w:vAlign w:val="center"/>
            <w:hideMark/>
          </w:tcPr>
          <w:p w14:paraId="46D5809D" w14:textId="77777777" w:rsidR="00025377" w:rsidRDefault="00025377">
            <w:pPr>
              <w:spacing w:line="276" w:lineRule="auto"/>
              <w:jc w:val="both"/>
              <w:rPr>
                <w:rFonts w:ascii="Times New Roman" w:hAnsi="Times New Roman" w:cs="Times New Roman"/>
                <w:b/>
                <w:bCs/>
                <w:sz w:val="20"/>
                <w:szCs w:val="20"/>
                <w:lang w:eastAsia="lv-LV"/>
              </w:rPr>
            </w:pPr>
            <w:r>
              <w:rPr>
                <w:rFonts w:ascii="Times New Roman" w:hAnsi="Times New Roman" w:cs="Times New Roman"/>
                <w:b/>
                <w:bCs/>
                <w:color w:val="000000"/>
                <w:sz w:val="20"/>
                <w:szCs w:val="20"/>
                <w:lang w:eastAsia="lv-LV"/>
              </w:rPr>
              <w:t>Manipulācijas nosaukums</w:t>
            </w:r>
          </w:p>
        </w:tc>
        <w:tc>
          <w:tcPr>
            <w:tcW w:w="1275" w:type="dxa"/>
            <w:tcBorders>
              <w:top w:val="single" w:sz="8" w:space="0" w:color="auto"/>
              <w:left w:val="nil"/>
              <w:bottom w:val="single" w:sz="8" w:space="0" w:color="000000"/>
              <w:right w:val="single" w:sz="8" w:space="0" w:color="auto"/>
            </w:tcBorders>
            <w:shd w:val="clear" w:color="auto" w:fill="FCE4D6"/>
            <w:tcMar>
              <w:top w:w="0" w:type="dxa"/>
              <w:left w:w="108" w:type="dxa"/>
              <w:bottom w:w="0" w:type="dxa"/>
              <w:right w:w="108" w:type="dxa"/>
            </w:tcMar>
            <w:vAlign w:val="center"/>
            <w:hideMark/>
          </w:tcPr>
          <w:p w14:paraId="07B3DD35" w14:textId="77777777" w:rsidR="00025377" w:rsidRDefault="00025377">
            <w:pPr>
              <w:spacing w:line="276" w:lineRule="auto"/>
              <w:jc w:val="both"/>
              <w:rPr>
                <w:rFonts w:ascii="Times New Roman" w:hAnsi="Times New Roman" w:cs="Times New Roman"/>
                <w:b/>
                <w:bCs/>
                <w:sz w:val="20"/>
                <w:szCs w:val="20"/>
                <w:lang w:eastAsia="lv-LV"/>
              </w:rPr>
            </w:pPr>
            <w:r>
              <w:rPr>
                <w:rFonts w:ascii="Times New Roman" w:hAnsi="Times New Roman" w:cs="Times New Roman"/>
                <w:b/>
                <w:bCs/>
                <w:color w:val="000000"/>
                <w:sz w:val="20"/>
                <w:szCs w:val="20"/>
                <w:lang w:eastAsia="lv-LV"/>
              </w:rPr>
              <w:t>Tarifs (</w:t>
            </w:r>
            <w:proofErr w:type="spellStart"/>
            <w:r>
              <w:rPr>
                <w:rFonts w:ascii="Times New Roman" w:hAnsi="Times New Roman" w:cs="Times New Roman"/>
                <w:b/>
                <w:bCs/>
                <w:color w:val="000000"/>
                <w:sz w:val="20"/>
                <w:szCs w:val="20"/>
                <w:lang w:eastAsia="lv-LV"/>
              </w:rPr>
              <w:t>euro</w:t>
            </w:r>
            <w:proofErr w:type="spellEnd"/>
            <w:r>
              <w:rPr>
                <w:rFonts w:ascii="Times New Roman" w:hAnsi="Times New Roman" w:cs="Times New Roman"/>
                <w:b/>
                <w:bCs/>
                <w:color w:val="000000"/>
                <w:sz w:val="20"/>
                <w:szCs w:val="20"/>
                <w:lang w:eastAsia="lv-LV"/>
              </w:rPr>
              <w:t>)</w:t>
            </w:r>
          </w:p>
        </w:tc>
      </w:tr>
      <w:tr w:rsidR="00025377" w14:paraId="74B4D5F6" w14:textId="77777777" w:rsidTr="00025377">
        <w:trPr>
          <w:trHeight w:val="844"/>
          <w:jc w:val="center"/>
        </w:trPr>
        <w:tc>
          <w:tcPr>
            <w:tcW w:w="1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BB381B"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54087</w:t>
            </w:r>
          </w:p>
        </w:tc>
        <w:tc>
          <w:tcPr>
            <w:tcW w:w="6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4460A"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Piemaksa manipulācijai 54003 gadījumā, ja ārsts miršanas iemeslu vērtē kā cēloniski iespējami saistītu ar vakcīnas pret Covid-19 saņemšanu. (Rīga vai Pierīga)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DFCC7F"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188.25</w:t>
            </w:r>
          </w:p>
        </w:tc>
      </w:tr>
      <w:tr w:rsidR="00025377" w14:paraId="1305FEE9" w14:textId="77777777" w:rsidTr="00025377">
        <w:trPr>
          <w:trHeight w:val="841"/>
          <w:jc w:val="center"/>
        </w:trPr>
        <w:tc>
          <w:tcPr>
            <w:tcW w:w="1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81368D"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54088</w:t>
            </w:r>
          </w:p>
        </w:tc>
        <w:tc>
          <w:tcPr>
            <w:tcW w:w="62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016A68C"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Piemaksa manipulācijai 54003 gadījumā, ja ārsts miršanas iemeslu vērtē kā cēloniski iespējami saistītu ar vakcīnas pret Covid-19 saņemšanu. (Ārpus Rīgas)</w:t>
            </w:r>
          </w:p>
        </w:tc>
        <w:tc>
          <w:tcPr>
            <w:tcW w:w="1275" w:type="dxa"/>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0003535"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2277.27</w:t>
            </w:r>
          </w:p>
        </w:tc>
      </w:tr>
      <w:tr w:rsidR="00025377" w14:paraId="578DC559" w14:textId="77777777" w:rsidTr="00025377">
        <w:trPr>
          <w:trHeight w:val="840"/>
          <w:jc w:val="center"/>
        </w:trPr>
        <w:tc>
          <w:tcPr>
            <w:tcW w:w="1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10DD26"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54089</w:t>
            </w:r>
          </w:p>
        </w:tc>
        <w:tc>
          <w:tcPr>
            <w:tcW w:w="62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A00F6F5"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Piemaksa manipulācijai 54062 gadījumos, kad ārsts miršanas iemeslu vērtē kā cēloniski iespējami saistītu ar vakcīnas pret Covid-19 saņemšanu</w:t>
            </w:r>
          </w:p>
        </w:tc>
        <w:tc>
          <w:tcPr>
            <w:tcW w:w="1275" w:type="dxa"/>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20F1462"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42.84</w:t>
            </w:r>
          </w:p>
        </w:tc>
      </w:tr>
      <w:tr w:rsidR="00025377" w14:paraId="5B8982F8" w14:textId="77777777" w:rsidTr="00025377">
        <w:trPr>
          <w:trHeight w:val="838"/>
          <w:jc w:val="center"/>
        </w:trPr>
        <w:tc>
          <w:tcPr>
            <w:tcW w:w="1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D8C7B0"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54090</w:t>
            </w:r>
          </w:p>
        </w:tc>
        <w:tc>
          <w:tcPr>
            <w:tcW w:w="62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B719B68"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Piemaksa manipulācijai 54046 gadījumos, kad ārsts miršanas iemeslu vērtē kā cēloniski iespējami saistītu ar vakcīnas pret Covid-19 saņemšanu</w:t>
            </w:r>
          </w:p>
        </w:tc>
        <w:tc>
          <w:tcPr>
            <w:tcW w:w="1275" w:type="dxa"/>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063B0FD"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15.02</w:t>
            </w:r>
          </w:p>
        </w:tc>
      </w:tr>
    </w:tbl>
    <w:p w14:paraId="4572529D" w14:textId="77777777" w:rsidR="00025377" w:rsidRDefault="00025377" w:rsidP="00025377">
      <w:pPr>
        <w:pStyle w:val="ListParagraph"/>
        <w:spacing w:after="0" w:line="276" w:lineRule="auto"/>
        <w:ind w:left="360"/>
        <w:jc w:val="both"/>
        <w:rPr>
          <w:rFonts w:ascii="Times New Roman" w:hAnsi="Times New Roman" w:cs="Times New Roman"/>
          <w:sz w:val="24"/>
          <w:szCs w:val="24"/>
        </w:rPr>
      </w:pPr>
    </w:p>
    <w:p w14:paraId="4DD827CD" w14:textId="77777777" w:rsidR="00025377" w:rsidRDefault="00025377" w:rsidP="00025377">
      <w:pPr>
        <w:pStyle w:val="ListParagraph"/>
        <w:numPr>
          <w:ilvl w:val="0"/>
          <w:numId w:val="1"/>
        </w:numPr>
        <w:tabs>
          <w:tab w:val="left" w:pos="284"/>
        </w:tabs>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IZPILDĪTĀJS šī pielikuma 3.punktā norādītās </w:t>
      </w:r>
      <w:proofErr w:type="spellStart"/>
      <w:r>
        <w:rPr>
          <w:rFonts w:ascii="Times New Roman" w:hAnsi="Times New Roman"/>
          <w:color w:val="000000" w:themeColor="text1"/>
          <w:sz w:val="24"/>
          <w:szCs w:val="24"/>
        </w:rPr>
        <w:t>jaunizveidotās</w:t>
      </w:r>
      <w:proofErr w:type="spellEnd"/>
      <w:r>
        <w:rPr>
          <w:rFonts w:ascii="Times New Roman" w:hAnsi="Times New Roman"/>
          <w:color w:val="000000" w:themeColor="text1"/>
          <w:sz w:val="24"/>
          <w:szCs w:val="24"/>
        </w:rPr>
        <w:t xml:space="preserve"> manipulācijas </w:t>
      </w:r>
      <w:r>
        <w:rPr>
          <w:rFonts w:ascii="Times New Roman" w:hAnsi="Times New Roman" w:cs="Times New Roman"/>
          <w:sz w:val="24"/>
          <w:szCs w:val="24"/>
        </w:rPr>
        <w:t>norāda kopā ar šādām manipulācijām:</w:t>
      </w:r>
    </w:p>
    <w:tbl>
      <w:tblPr>
        <w:tblW w:w="9080" w:type="dxa"/>
        <w:jc w:val="center"/>
        <w:tblCellMar>
          <w:left w:w="0" w:type="dxa"/>
          <w:right w:w="0" w:type="dxa"/>
        </w:tblCellMar>
        <w:tblLook w:val="04A0" w:firstRow="1" w:lastRow="0" w:firstColumn="1" w:lastColumn="0" w:noHBand="0" w:noVBand="1"/>
      </w:tblPr>
      <w:tblGrid>
        <w:gridCol w:w="1555"/>
        <w:gridCol w:w="6232"/>
        <w:gridCol w:w="1273"/>
        <w:gridCol w:w="20"/>
      </w:tblGrid>
      <w:tr w:rsidR="00025377" w14:paraId="634CF171" w14:textId="77777777" w:rsidTr="00025377">
        <w:trPr>
          <w:gridAfter w:val="1"/>
          <w:wAfter w:w="20" w:type="dxa"/>
          <w:trHeight w:val="450"/>
          <w:jc w:val="center"/>
        </w:trPr>
        <w:tc>
          <w:tcPr>
            <w:tcW w:w="1555" w:type="dxa"/>
            <w:vMerge w:val="restart"/>
            <w:tcBorders>
              <w:top w:val="single" w:sz="8" w:space="0" w:color="auto"/>
              <w:left w:val="single" w:sz="8" w:space="0" w:color="auto"/>
              <w:bottom w:val="single" w:sz="8" w:space="0" w:color="000000"/>
              <w:right w:val="single" w:sz="8" w:space="0" w:color="auto"/>
            </w:tcBorders>
            <w:shd w:val="clear" w:color="auto" w:fill="FCE4D6"/>
            <w:tcMar>
              <w:top w:w="0" w:type="dxa"/>
              <w:left w:w="108" w:type="dxa"/>
              <w:bottom w:w="0" w:type="dxa"/>
              <w:right w:w="108" w:type="dxa"/>
            </w:tcMar>
            <w:vAlign w:val="center"/>
            <w:hideMark/>
          </w:tcPr>
          <w:p w14:paraId="787BCA59" w14:textId="77777777" w:rsidR="00025377" w:rsidRDefault="00025377">
            <w:pPr>
              <w:spacing w:line="276" w:lineRule="auto"/>
              <w:jc w:val="both"/>
              <w:rPr>
                <w:rFonts w:ascii="Times New Roman" w:hAnsi="Times New Roman" w:cs="Times New Roman"/>
                <w:b/>
                <w:bCs/>
                <w:sz w:val="20"/>
                <w:szCs w:val="20"/>
                <w:lang w:eastAsia="lv-LV"/>
              </w:rPr>
            </w:pPr>
            <w:r>
              <w:rPr>
                <w:rFonts w:ascii="Times New Roman" w:hAnsi="Times New Roman" w:cs="Times New Roman"/>
                <w:b/>
                <w:bCs/>
                <w:sz w:val="20"/>
                <w:szCs w:val="20"/>
                <w:lang w:eastAsia="lv-LV"/>
              </w:rPr>
              <w:t>Manipulācijas kods</w:t>
            </w:r>
          </w:p>
        </w:tc>
        <w:tc>
          <w:tcPr>
            <w:tcW w:w="6232" w:type="dxa"/>
            <w:vMerge w:val="restart"/>
            <w:tcBorders>
              <w:top w:val="single" w:sz="8" w:space="0" w:color="auto"/>
              <w:left w:val="nil"/>
              <w:bottom w:val="single" w:sz="8" w:space="0" w:color="000000"/>
              <w:right w:val="single" w:sz="8" w:space="0" w:color="auto"/>
            </w:tcBorders>
            <w:shd w:val="clear" w:color="auto" w:fill="FCE4D6"/>
            <w:tcMar>
              <w:top w:w="0" w:type="dxa"/>
              <w:left w:w="108" w:type="dxa"/>
              <w:bottom w:w="0" w:type="dxa"/>
              <w:right w:w="108" w:type="dxa"/>
            </w:tcMar>
            <w:vAlign w:val="center"/>
            <w:hideMark/>
          </w:tcPr>
          <w:p w14:paraId="400EA13B" w14:textId="77777777" w:rsidR="00025377" w:rsidRDefault="00025377">
            <w:pPr>
              <w:spacing w:line="276" w:lineRule="auto"/>
              <w:jc w:val="both"/>
              <w:rPr>
                <w:rFonts w:ascii="Times New Roman" w:hAnsi="Times New Roman" w:cs="Times New Roman"/>
                <w:b/>
                <w:bCs/>
                <w:sz w:val="20"/>
                <w:szCs w:val="20"/>
                <w:lang w:eastAsia="lv-LV"/>
              </w:rPr>
            </w:pPr>
            <w:r>
              <w:rPr>
                <w:rFonts w:ascii="Times New Roman" w:hAnsi="Times New Roman" w:cs="Times New Roman"/>
                <w:b/>
                <w:bCs/>
                <w:color w:val="000000"/>
                <w:sz w:val="20"/>
                <w:szCs w:val="20"/>
                <w:lang w:eastAsia="lv-LV"/>
              </w:rPr>
              <w:t>Manipulācijas nosaukums</w:t>
            </w:r>
          </w:p>
        </w:tc>
        <w:tc>
          <w:tcPr>
            <w:tcW w:w="1273" w:type="dxa"/>
            <w:vMerge w:val="restart"/>
            <w:tcBorders>
              <w:top w:val="single" w:sz="8" w:space="0" w:color="auto"/>
              <w:left w:val="nil"/>
              <w:bottom w:val="single" w:sz="8" w:space="0" w:color="000000"/>
              <w:right w:val="single" w:sz="8" w:space="0" w:color="auto"/>
            </w:tcBorders>
            <w:shd w:val="clear" w:color="auto" w:fill="FCE4D6"/>
            <w:tcMar>
              <w:top w:w="0" w:type="dxa"/>
              <w:left w:w="108" w:type="dxa"/>
              <w:bottom w:w="0" w:type="dxa"/>
              <w:right w:w="108" w:type="dxa"/>
            </w:tcMar>
            <w:vAlign w:val="center"/>
            <w:hideMark/>
          </w:tcPr>
          <w:p w14:paraId="0C4C39AA" w14:textId="77777777" w:rsidR="00025377" w:rsidRDefault="00025377">
            <w:pPr>
              <w:spacing w:line="276" w:lineRule="auto"/>
              <w:jc w:val="both"/>
              <w:rPr>
                <w:rFonts w:ascii="Times New Roman" w:hAnsi="Times New Roman" w:cs="Times New Roman"/>
                <w:b/>
                <w:bCs/>
                <w:sz w:val="20"/>
                <w:szCs w:val="20"/>
                <w:lang w:eastAsia="lv-LV"/>
              </w:rPr>
            </w:pPr>
            <w:r>
              <w:rPr>
                <w:rFonts w:ascii="Times New Roman" w:hAnsi="Times New Roman" w:cs="Times New Roman"/>
                <w:b/>
                <w:bCs/>
                <w:color w:val="000000"/>
                <w:sz w:val="20"/>
                <w:szCs w:val="20"/>
                <w:lang w:eastAsia="lv-LV"/>
              </w:rPr>
              <w:t>Tarifs (</w:t>
            </w:r>
            <w:proofErr w:type="spellStart"/>
            <w:r>
              <w:rPr>
                <w:rFonts w:ascii="Times New Roman" w:hAnsi="Times New Roman" w:cs="Times New Roman"/>
                <w:b/>
                <w:bCs/>
                <w:color w:val="000000"/>
                <w:sz w:val="20"/>
                <w:szCs w:val="20"/>
                <w:lang w:eastAsia="lv-LV"/>
              </w:rPr>
              <w:t>euro</w:t>
            </w:r>
            <w:proofErr w:type="spellEnd"/>
            <w:r>
              <w:rPr>
                <w:rFonts w:ascii="Times New Roman" w:hAnsi="Times New Roman" w:cs="Times New Roman"/>
                <w:b/>
                <w:bCs/>
                <w:color w:val="000000"/>
                <w:sz w:val="20"/>
                <w:szCs w:val="20"/>
                <w:lang w:eastAsia="lv-LV"/>
              </w:rPr>
              <w:t>)</w:t>
            </w:r>
          </w:p>
        </w:tc>
      </w:tr>
      <w:tr w:rsidR="00025377" w14:paraId="2B8F646E" w14:textId="77777777" w:rsidTr="00025377">
        <w:trPr>
          <w:trHeight w:val="6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9D76F38" w14:textId="77777777" w:rsidR="00025377" w:rsidRDefault="00025377">
            <w:pPr>
              <w:spacing w:after="0"/>
              <w:rPr>
                <w:rFonts w:ascii="Times New Roman" w:hAnsi="Times New Roman" w:cs="Times New Roman"/>
                <w:b/>
                <w:bCs/>
                <w:sz w:val="20"/>
                <w:szCs w:val="20"/>
                <w:lang w:eastAsia="lv-LV"/>
              </w:rPr>
            </w:pPr>
          </w:p>
        </w:tc>
        <w:tc>
          <w:tcPr>
            <w:tcW w:w="0" w:type="auto"/>
            <w:vMerge/>
            <w:tcBorders>
              <w:top w:val="single" w:sz="8" w:space="0" w:color="auto"/>
              <w:left w:val="nil"/>
              <w:bottom w:val="single" w:sz="8" w:space="0" w:color="000000"/>
              <w:right w:val="single" w:sz="8" w:space="0" w:color="auto"/>
            </w:tcBorders>
            <w:vAlign w:val="center"/>
            <w:hideMark/>
          </w:tcPr>
          <w:p w14:paraId="78D271C9" w14:textId="77777777" w:rsidR="00025377" w:rsidRDefault="00025377">
            <w:pPr>
              <w:spacing w:after="0"/>
              <w:rPr>
                <w:rFonts w:ascii="Times New Roman" w:hAnsi="Times New Roman" w:cs="Times New Roman"/>
                <w:b/>
                <w:bCs/>
                <w:sz w:val="20"/>
                <w:szCs w:val="20"/>
                <w:lang w:eastAsia="lv-LV"/>
              </w:rPr>
            </w:pPr>
          </w:p>
        </w:tc>
        <w:tc>
          <w:tcPr>
            <w:tcW w:w="0" w:type="auto"/>
            <w:vMerge/>
            <w:tcBorders>
              <w:top w:val="single" w:sz="8" w:space="0" w:color="auto"/>
              <w:left w:val="nil"/>
              <w:bottom w:val="single" w:sz="8" w:space="0" w:color="000000"/>
              <w:right w:val="single" w:sz="8" w:space="0" w:color="auto"/>
            </w:tcBorders>
            <w:vAlign w:val="center"/>
            <w:hideMark/>
          </w:tcPr>
          <w:p w14:paraId="3C641FEF" w14:textId="77777777" w:rsidR="00025377" w:rsidRDefault="00025377">
            <w:pPr>
              <w:spacing w:after="0"/>
              <w:rPr>
                <w:rFonts w:ascii="Times New Roman" w:hAnsi="Times New Roman" w:cs="Times New Roman"/>
                <w:b/>
                <w:bCs/>
                <w:sz w:val="20"/>
                <w:szCs w:val="20"/>
                <w:lang w:eastAsia="lv-LV"/>
              </w:rPr>
            </w:pPr>
          </w:p>
        </w:tc>
        <w:tc>
          <w:tcPr>
            <w:tcW w:w="20" w:type="dxa"/>
            <w:vAlign w:val="center"/>
            <w:hideMark/>
          </w:tcPr>
          <w:p w14:paraId="6829EDA9" w14:textId="77777777" w:rsidR="00025377" w:rsidRDefault="00025377"/>
        </w:tc>
      </w:tr>
      <w:tr w:rsidR="00025377" w14:paraId="5A5A3DB7" w14:textId="77777777" w:rsidTr="00025377">
        <w:trPr>
          <w:trHeight w:val="697"/>
          <w:jc w:val="center"/>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0CA95A" w14:textId="77777777" w:rsidR="00025377" w:rsidRDefault="00025377">
            <w:pPr>
              <w:spacing w:line="276" w:lineRule="auto"/>
              <w:jc w:val="both"/>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54003</w:t>
            </w:r>
          </w:p>
        </w:tc>
        <w:tc>
          <w:tcPr>
            <w:tcW w:w="6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9AFEB"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Sekcija (pieaugušo, bērnu); 3. kategorija (neskaidra klīniskā diagnoze, AIDS, nāve pēc vairākām operācijām, sevišķi bīstamas infekcijas slimības). Nenorādīt kopā ar manipulācijām 54007, 54008, 54009, 54010</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6EBC7E"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124.67</w:t>
            </w:r>
          </w:p>
        </w:tc>
        <w:tc>
          <w:tcPr>
            <w:tcW w:w="20" w:type="dxa"/>
            <w:vAlign w:val="center"/>
            <w:hideMark/>
          </w:tcPr>
          <w:p w14:paraId="4A41D376" w14:textId="77777777" w:rsidR="00025377" w:rsidRDefault="00025377">
            <w:pPr>
              <w:rPr>
                <w:rFonts w:ascii="Times New Roman" w:hAnsi="Times New Roman" w:cs="Times New Roman"/>
                <w:sz w:val="20"/>
                <w:szCs w:val="20"/>
                <w:lang w:eastAsia="lv-LV"/>
              </w:rPr>
            </w:pPr>
          </w:p>
        </w:tc>
      </w:tr>
      <w:tr w:rsidR="00025377" w14:paraId="029BEB14" w14:textId="77777777" w:rsidTr="00025377">
        <w:trPr>
          <w:trHeight w:val="765"/>
          <w:jc w:val="center"/>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FE8C3E" w14:textId="77777777" w:rsidR="00025377" w:rsidRDefault="00025377">
            <w:pPr>
              <w:spacing w:line="276" w:lineRule="auto"/>
              <w:jc w:val="both"/>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54046</w:t>
            </w:r>
          </w:p>
        </w:tc>
        <w:tc>
          <w:tcPr>
            <w:tcW w:w="6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6FC8B"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Toksikoloģijas nodaļas izmeklējums uz alkoholu un tā surogātiem ar gāzes hromatogrāfijas metodi</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23280D"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17.10</w:t>
            </w:r>
          </w:p>
        </w:tc>
        <w:tc>
          <w:tcPr>
            <w:tcW w:w="20" w:type="dxa"/>
            <w:vAlign w:val="center"/>
            <w:hideMark/>
          </w:tcPr>
          <w:p w14:paraId="4DC46678" w14:textId="77777777" w:rsidR="00025377" w:rsidRDefault="00025377">
            <w:pPr>
              <w:rPr>
                <w:rFonts w:ascii="Times New Roman" w:hAnsi="Times New Roman" w:cs="Times New Roman"/>
                <w:sz w:val="20"/>
                <w:szCs w:val="20"/>
                <w:lang w:eastAsia="lv-LV"/>
              </w:rPr>
            </w:pPr>
          </w:p>
        </w:tc>
      </w:tr>
      <w:tr w:rsidR="00025377" w14:paraId="1E54ABA9" w14:textId="77777777" w:rsidTr="00025377">
        <w:trPr>
          <w:trHeight w:val="571"/>
          <w:jc w:val="center"/>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961DCE" w14:textId="77777777" w:rsidR="00025377" w:rsidRDefault="00025377">
            <w:pPr>
              <w:spacing w:line="276" w:lineRule="auto"/>
              <w:jc w:val="both"/>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54062</w:t>
            </w:r>
          </w:p>
        </w:tc>
        <w:tc>
          <w:tcPr>
            <w:tcW w:w="62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242E0"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Pilna ķīmiski toksikoloģiskā analīze²</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CC7075" w14:textId="77777777" w:rsidR="00025377" w:rsidRDefault="00025377">
            <w:pPr>
              <w:spacing w:line="276" w:lineRule="auto"/>
              <w:jc w:val="both"/>
              <w:rPr>
                <w:rFonts w:ascii="Times New Roman" w:hAnsi="Times New Roman" w:cs="Times New Roman"/>
                <w:sz w:val="20"/>
                <w:szCs w:val="20"/>
                <w:lang w:eastAsia="lv-LV"/>
              </w:rPr>
            </w:pPr>
            <w:r>
              <w:rPr>
                <w:rFonts w:ascii="Times New Roman" w:hAnsi="Times New Roman" w:cs="Times New Roman"/>
                <w:sz w:val="20"/>
                <w:szCs w:val="20"/>
                <w:lang w:eastAsia="lv-LV"/>
              </w:rPr>
              <w:t>96.35</w:t>
            </w:r>
          </w:p>
        </w:tc>
        <w:tc>
          <w:tcPr>
            <w:tcW w:w="20" w:type="dxa"/>
            <w:vAlign w:val="center"/>
            <w:hideMark/>
          </w:tcPr>
          <w:p w14:paraId="2F02ED41" w14:textId="77777777" w:rsidR="00025377" w:rsidRDefault="00025377">
            <w:pPr>
              <w:rPr>
                <w:rFonts w:ascii="Times New Roman" w:hAnsi="Times New Roman" w:cs="Times New Roman"/>
                <w:sz w:val="20"/>
                <w:szCs w:val="20"/>
                <w:lang w:eastAsia="lv-LV"/>
              </w:rPr>
            </w:pPr>
          </w:p>
        </w:tc>
      </w:tr>
    </w:tbl>
    <w:p w14:paraId="314A2C17" w14:textId="77777777" w:rsidR="00025377" w:rsidRDefault="00025377" w:rsidP="00025377">
      <w:pPr>
        <w:pStyle w:val="ListParagraph"/>
        <w:spacing w:after="0" w:line="276" w:lineRule="auto"/>
        <w:ind w:left="360"/>
        <w:jc w:val="both"/>
        <w:rPr>
          <w:rFonts w:ascii="Times New Roman" w:hAnsi="Times New Roman" w:cs="Times New Roman"/>
          <w:color w:val="000000"/>
          <w:sz w:val="24"/>
          <w:szCs w:val="24"/>
        </w:rPr>
      </w:pPr>
    </w:p>
    <w:p w14:paraId="058A42F4" w14:textId="77777777" w:rsidR="00025377" w:rsidRDefault="00025377" w:rsidP="00025377">
      <w:pPr>
        <w:pStyle w:val="ListParagraph"/>
        <w:numPr>
          <w:ilvl w:val="0"/>
          <w:numId w:val="1"/>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DIENESTS apmaksā autopsijas pakalpojumu IZPILDĪTĀJAM atbilstoši faktiski sniegto pakalpojumu apjomam un tarifam 2021.gadam.</w:t>
      </w:r>
    </w:p>
    <w:p w14:paraId="243740E4" w14:textId="77777777" w:rsidR="00025377" w:rsidRDefault="00025377" w:rsidP="00025377">
      <w:pPr>
        <w:pStyle w:val="ListParagraph"/>
        <w:numPr>
          <w:ilvl w:val="0"/>
          <w:numId w:val="1"/>
        </w:numPr>
        <w:spacing w:after="0" w:line="276" w:lineRule="auto"/>
        <w:jc w:val="both"/>
        <w:rPr>
          <w:rFonts w:ascii="Times New Roman" w:hAnsi="Times New Roman" w:cs="Times New Roman"/>
          <w:color w:val="000000"/>
          <w:sz w:val="24"/>
          <w:szCs w:val="24"/>
        </w:rPr>
      </w:pPr>
      <w:r>
        <w:rPr>
          <w:rFonts w:ascii="Times New Roman" w:hAnsi="Times New Roman"/>
          <w:sz w:val="24"/>
          <w:szCs w:val="24"/>
        </w:rPr>
        <w:lastRenderedPageBreak/>
        <w:t>Ja DIENESTA aprēķinātais pakalpojuma manipulāciju tarifs nenosedz pakalpojuma faktiskās izmaksas, IZPILDĪTĀJAM ir tiesības līdz 2021.gada 15.decembrim iesniegt faktisko izmaksu pārskatu un DIENESTS veiks manipulāciju pārrēķinu.</w:t>
      </w:r>
    </w:p>
    <w:p w14:paraId="09C47B99" w14:textId="77777777" w:rsidR="00E0125E" w:rsidRDefault="00E0125E"/>
    <w:sectPr w:rsidR="00E01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7621B"/>
    <w:multiLevelType w:val="multilevel"/>
    <w:tmpl w:val="4F4ECB54"/>
    <w:lvl w:ilvl="0">
      <w:start w:val="1"/>
      <w:numFmt w:val="decimal"/>
      <w:lvlText w:val="%1."/>
      <w:lvlJc w:val="left"/>
      <w:pPr>
        <w:ind w:left="360" w:hanging="360"/>
      </w:pPr>
      <w:rPr>
        <w:rFonts w:ascii="Times New Roman" w:hAnsi="Times New Roman" w:cs="Times New Roman" w:hint="default"/>
        <w:b w:val="0"/>
        <w:bCs/>
        <w:color w:val="000000" w:themeColor="text1"/>
      </w:rPr>
    </w:lvl>
    <w:lvl w:ilvl="1">
      <w:start w:val="1"/>
      <w:numFmt w:val="decimal"/>
      <w:lvlText w:val="%1.%2."/>
      <w:lvlJc w:val="left"/>
      <w:pPr>
        <w:ind w:left="432" w:hanging="432"/>
      </w:pPr>
      <w:rPr>
        <w:b w:val="0"/>
      </w:rPr>
    </w:lvl>
    <w:lvl w:ilvl="2">
      <w:start w:val="1"/>
      <w:numFmt w:val="decimal"/>
      <w:lvlText w:val="%1.%2.%3."/>
      <w:lvlJc w:val="left"/>
      <w:pPr>
        <w:ind w:left="1638" w:hanging="645"/>
      </w:pPr>
      <w:rPr>
        <w:b w:val="0"/>
        <w:color w:val="auto"/>
        <w:sz w:val="24"/>
      </w:rPr>
    </w:lvl>
    <w:lvl w:ilvl="3">
      <w:start w:val="1"/>
      <w:numFmt w:val="decimal"/>
      <w:lvlText w:val="%1.%2.%3.%4."/>
      <w:lvlJc w:val="left"/>
      <w:pPr>
        <w:ind w:left="1357"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7A"/>
    <w:rsid w:val="00025377"/>
    <w:rsid w:val="00C5417A"/>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7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1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1589</Words>
  <Characters>907</Characters>
  <Application>Microsoft Office Word</Application>
  <DocSecurity>0</DocSecurity>
  <Lines>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2021-12-15T14:53:00Z</dcterms:created>
  <dcterms:modified xsi:type="dcterms:W3CDTF">2021-12-15T14:53:00Z</dcterms:modified>
</cp:coreProperties>
</file>