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20E" w14:textId="77777777" w:rsidR="002B24D9" w:rsidRPr="002B24D9" w:rsidRDefault="002B24D9" w:rsidP="002B24D9">
      <w:pPr>
        <w:jc w:val="center"/>
        <w:rPr>
          <w:rFonts w:ascii="Times New Roman" w:hAnsi="Times New Roman"/>
          <w:b/>
          <w:sz w:val="24"/>
          <w:szCs w:val="24"/>
        </w:rPr>
      </w:pPr>
      <w:r w:rsidRPr="002B24D9">
        <w:rPr>
          <w:rFonts w:ascii="Times New Roman" w:hAnsi="Times New Roman"/>
          <w:b/>
          <w:sz w:val="24"/>
          <w:szCs w:val="24"/>
        </w:rPr>
        <w:t>Konsīlija slēdziena noformēšanas nosacījumi  pacientam ar pirmreizēji diagnosticētu onkoloģisko slimību</w:t>
      </w:r>
    </w:p>
    <w:p w14:paraId="44F62FF6" w14:textId="77777777" w:rsidR="002B24D9" w:rsidRPr="002B24D9" w:rsidRDefault="002B24D9" w:rsidP="002B24D9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2B24D9" w14:paraId="514DDC59" w14:textId="77777777" w:rsidTr="006A3F62">
        <w:tc>
          <w:tcPr>
            <w:tcW w:w="846" w:type="dxa"/>
          </w:tcPr>
          <w:p w14:paraId="339AD825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proofErr w:type="spellStart"/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N.p.k</w:t>
            </w:r>
            <w:proofErr w:type="spellEnd"/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.</w:t>
            </w:r>
          </w:p>
        </w:tc>
        <w:tc>
          <w:tcPr>
            <w:tcW w:w="2835" w:type="dxa"/>
          </w:tcPr>
          <w:p w14:paraId="5662CCD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Saturs</w:t>
            </w:r>
          </w:p>
        </w:tc>
      </w:tr>
      <w:tr w:rsidR="002B24D9" w:rsidRPr="002B24D9" w14:paraId="7AECC273" w14:textId="77777777" w:rsidTr="006A3F62">
        <w:tc>
          <w:tcPr>
            <w:tcW w:w="846" w:type="dxa"/>
          </w:tcPr>
          <w:p w14:paraId="330B319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2B24D9" w14:paraId="6354AAE9" w14:textId="77777777" w:rsidTr="006A3F62">
        <w:tc>
          <w:tcPr>
            <w:tcW w:w="846" w:type="dxa"/>
          </w:tcPr>
          <w:p w14:paraId="67EC9E26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Tiek norādīta ārstniecības iestāde, kurā notika konsīlijs</w:t>
            </w:r>
          </w:p>
        </w:tc>
      </w:tr>
      <w:tr w:rsidR="002B24D9" w:rsidRPr="002B24D9" w14:paraId="5A9F829A" w14:textId="77777777" w:rsidTr="006A3F62">
        <w:tc>
          <w:tcPr>
            <w:tcW w:w="846" w:type="dxa"/>
          </w:tcPr>
          <w:p w14:paraId="422DA67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2B24D9" w14:paraId="2151E7BF" w14:textId="77777777" w:rsidTr="006A3F62">
        <w:tc>
          <w:tcPr>
            <w:tcW w:w="846" w:type="dxa"/>
          </w:tcPr>
          <w:p w14:paraId="3462387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2B24D9" w14:paraId="686C19BE" w14:textId="77777777" w:rsidTr="006A3F62">
        <w:tc>
          <w:tcPr>
            <w:tcW w:w="846" w:type="dxa"/>
          </w:tcPr>
          <w:p w14:paraId="5E344414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2B24D9" w14:paraId="6C0BA5B4" w14:textId="77777777" w:rsidTr="006A3F62">
        <w:tc>
          <w:tcPr>
            <w:tcW w:w="846" w:type="dxa"/>
          </w:tcPr>
          <w:p w14:paraId="16248EC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TNM klasifikācija</w:t>
            </w:r>
          </w:p>
        </w:tc>
        <w:tc>
          <w:tcPr>
            <w:tcW w:w="9214" w:type="dxa"/>
          </w:tcPr>
          <w:p w14:paraId="78BBEFA5" w14:textId="77777777" w:rsidR="002B24D9" w:rsidRPr="002B24D9" w:rsidRDefault="002B24D9" w:rsidP="006A3F6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2B24D9">
              <w:rPr>
                <w:b/>
                <w:sz w:val="20"/>
                <w:szCs w:val="20"/>
                <w:lang w:val="lv-LV"/>
              </w:rPr>
              <w:t>T</w:t>
            </w:r>
            <w:r w:rsidRPr="002B24D9">
              <w:rPr>
                <w:sz w:val="20"/>
                <w:szCs w:val="20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Pr="002B24D9">
              <w:rPr>
                <w:sz w:val="20"/>
                <w:szCs w:val="20"/>
                <w:lang w:val="lv-LV"/>
              </w:rPr>
            </w:r>
            <w:r w:rsidRPr="002B24D9">
              <w:rPr>
                <w:sz w:val="20"/>
                <w:szCs w:val="20"/>
                <w:lang w:val="lv-LV"/>
              </w:rPr>
              <w:fldChar w:fldCharType="separate"/>
            </w:r>
            <w:r w:rsidRPr="002B24D9">
              <w:rPr>
                <w:sz w:val="20"/>
                <w:szCs w:val="20"/>
                <w:lang w:val="lv-LV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N</w:t>
            </w:r>
            <w:r w:rsidRPr="002B24D9">
              <w:rPr>
                <w:sz w:val="20"/>
                <w:szCs w:val="20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Pr="002B24D9">
              <w:rPr>
                <w:sz w:val="20"/>
                <w:szCs w:val="20"/>
                <w:lang w:val="lv-LV"/>
              </w:rPr>
            </w:r>
            <w:r w:rsidRPr="002B24D9">
              <w:rPr>
                <w:sz w:val="20"/>
                <w:szCs w:val="20"/>
                <w:lang w:val="lv-LV"/>
              </w:rPr>
              <w:fldChar w:fldCharType="separate"/>
            </w:r>
            <w:r w:rsidRPr="002B24D9">
              <w:rPr>
                <w:sz w:val="20"/>
                <w:szCs w:val="20"/>
                <w:lang w:val="lv-LV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M</w:t>
            </w:r>
            <w:r w:rsidRPr="002B24D9">
              <w:rPr>
                <w:sz w:val="20"/>
                <w:szCs w:val="20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Pr="002B24D9">
              <w:rPr>
                <w:sz w:val="20"/>
                <w:szCs w:val="20"/>
                <w:lang w:val="lv-LV"/>
              </w:rPr>
            </w:r>
            <w:r w:rsidRPr="002B24D9">
              <w:rPr>
                <w:sz w:val="20"/>
                <w:szCs w:val="20"/>
                <w:lang w:val="lv-LV"/>
              </w:rPr>
              <w:fldChar w:fldCharType="separate"/>
            </w:r>
            <w:r w:rsidRPr="002B24D9">
              <w:rPr>
                <w:sz w:val="20"/>
                <w:szCs w:val="20"/>
                <w:lang w:val="lv-LV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G</w:t>
            </w:r>
            <w:r w:rsidRPr="002B24D9">
              <w:rPr>
                <w:sz w:val="20"/>
                <w:szCs w:val="20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Pr="002B24D9">
              <w:rPr>
                <w:sz w:val="20"/>
                <w:szCs w:val="20"/>
                <w:lang w:val="lv-LV"/>
              </w:rPr>
            </w:r>
            <w:r w:rsidRPr="002B24D9">
              <w:rPr>
                <w:sz w:val="20"/>
                <w:szCs w:val="20"/>
                <w:lang w:val="lv-LV"/>
              </w:rPr>
              <w:fldChar w:fldCharType="separate"/>
            </w:r>
            <w:r w:rsidRPr="002B24D9">
              <w:rPr>
                <w:sz w:val="20"/>
                <w:szCs w:val="20"/>
                <w:lang w:val="lv-LV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proofErr w:type="spellStart"/>
            <w:r w:rsidRPr="002B24D9">
              <w:rPr>
                <w:b/>
                <w:sz w:val="20"/>
                <w:szCs w:val="20"/>
                <w:lang w:val="lv-LV"/>
              </w:rPr>
              <w:t>pT</w:t>
            </w:r>
            <w:proofErr w:type="spellEnd"/>
            <w:r w:rsidRPr="002B24D9">
              <w:rPr>
                <w:sz w:val="20"/>
                <w:szCs w:val="20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Pr="002B24D9">
              <w:rPr>
                <w:sz w:val="20"/>
                <w:szCs w:val="20"/>
                <w:lang w:val="lv-LV"/>
              </w:rPr>
            </w:r>
            <w:r w:rsidRPr="002B24D9">
              <w:rPr>
                <w:sz w:val="20"/>
                <w:szCs w:val="20"/>
                <w:lang w:val="lv-LV"/>
              </w:rPr>
              <w:fldChar w:fldCharType="separate"/>
            </w:r>
            <w:r w:rsidRPr="002B24D9">
              <w:rPr>
                <w:sz w:val="20"/>
                <w:szCs w:val="20"/>
                <w:lang w:val="lv-LV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</w:p>
          <w:p w14:paraId="5CE58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2B24D9" w14:paraId="38EB1AC9" w14:textId="77777777" w:rsidTr="006A3F62">
        <w:tc>
          <w:tcPr>
            <w:tcW w:w="846" w:type="dxa"/>
          </w:tcPr>
          <w:p w14:paraId="15E0ECEB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Slimības stadija</w:t>
            </w:r>
          </w:p>
        </w:tc>
        <w:tc>
          <w:tcPr>
            <w:tcW w:w="9214" w:type="dxa"/>
          </w:tcPr>
          <w:p w14:paraId="6A938891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slimības stadiju </w:t>
            </w:r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(O, </w:t>
            </w:r>
            <w:proofErr w:type="spellStart"/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Ois</w:t>
            </w:r>
            <w:proofErr w:type="spellEnd"/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 OA, I, IA, IA1, IA2, IB, IB1, IB2, IC, II, IIA, IIB, IIC, III, IIIA, IIIB, IIIC, IV, IVA, IVB, IVC, neprecizēta – X)</w:t>
            </w:r>
          </w:p>
        </w:tc>
      </w:tr>
      <w:tr w:rsidR="002B24D9" w:rsidRPr="002B24D9" w14:paraId="4C19738A" w14:textId="77777777" w:rsidTr="006A3F62">
        <w:tc>
          <w:tcPr>
            <w:tcW w:w="846" w:type="dxa"/>
          </w:tcPr>
          <w:p w14:paraId="2E6F716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</w:p>
        </w:tc>
        <w:tc>
          <w:tcPr>
            <w:tcW w:w="2835" w:type="dxa"/>
          </w:tcPr>
          <w:p w14:paraId="045D605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kāda izmeklējuma laikā ir veikta audu parauga paņemšana, kas apstiprina diagnozi, vai ar kāds izmeklējums/i apstiprina uzstādīto </w:t>
            </w: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pamatdiagnozi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, ja diagnoze nav apstiprināta morfoloģiski</w:t>
            </w:r>
          </w:p>
        </w:tc>
      </w:tr>
      <w:tr w:rsidR="002B24D9" w:rsidRPr="002B24D9" w14:paraId="376199C3" w14:textId="77777777" w:rsidTr="006A3F62">
        <w:tc>
          <w:tcPr>
            <w:tcW w:w="846" w:type="dxa"/>
          </w:tcPr>
          <w:p w14:paraId="0772416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9</w:t>
            </w:r>
          </w:p>
        </w:tc>
        <w:tc>
          <w:tcPr>
            <w:tcW w:w="2835" w:type="dxa"/>
          </w:tcPr>
          <w:p w14:paraId="45442F8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Morfoloģija</w:t>
            </w:r>
          </w:p>
        </w:tc>
        <w:tc>
          <w:tcPr>
            <w:tcW w:w="9214" w:type="dxa"/>
          </w:tcPr>
          <w:p w14:paraId="63E0852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2B24D9" w14:paraId="081A3BC1" w14:textId="77777777" w:rsidTr="006A3F62">
        <w:tc>
          <w:tcPr>
            <w:tcW w:w="846" w:type="dxa"/>
          </w:tcPr>
          <w:p w14:paraId="3654B132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10</w:t>
            </w:r>
          </w:p>
        </w:tc>
        <w:tc>
          <w:tcPr>
            <w:tcW w:w="2835" w:type="dxa"/>
          </w:tcPr>
          <w:p w14:paraId="6A1E9F7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2B24D9" w14:paraId="03CE472D" w14:textId="77777777" w:rsidTr="006A3F62">
        <w:tc>
          <w:tcPr>
            <w:tcW w:w="846" w:type="dxa"/>
          </w:tcPr>
          <w:p w14:paraId="71730D9D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Lēmums par slimības  terapijas taktiku</w:t>
            </w:r>
          </w:p>
        </w:tc>
        <w:tc>
          <w:tcPr>
            <w:tcW w:w="9214" w:type="dxa"/>
          </w:tcPr>
          <w:p w14:paraId="17061BEE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Precīzi norāda pa sadaļām:</w:t>
            </w:r>
          </w:p>
          <w:p w14:paraId="606A49C8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ķirurģija (nav nepieciešama, primāra radikāla, paliatīva, simptomātiska),</w:t>
            </w:r>
          </w:p>
          <w:p w14:paraId="689D7311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staru terapija (radikāla, papildu, paliatīva vai simptomātiska), </w:t>
            </w:r>
          </w:p>
          <w:p w14:paraId="7B544537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medikamentozā terapija (</w:t>
            </w: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neoadjuvanta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, </w:t>
            </w: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adjuvanta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, paliatīva), </w:t>
            </w:r>
          </w:p>
          <w:p w14:paraId="6AF03A5A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mērķterapija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;</w:t>
            </w:r>
          </w:p>
          <w:p w14:paraId="1CFB73C7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imūnterapija;</w:t>
            </w:r>
          </w:p>
          <w:p w14:paraId="75954E1D" w14:textId="77777777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paliatīvā aprūpe (nav nepieciešama, ja ir nepieciešama, tad norāda nepieciešamo paliatīvo aprūpes apjomu);</w:t>
            </w:r>
          </w:p>
          <w:p w14:paraId="7BE2B0E8" w14:textId="696DC614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speciālistu, kas turpmāk veiks pacienta slimības ārstēšanu un uzraudzību ( piemēram, onkologs </w:t>
            </w: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ķīmijterapeits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, ķiru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r</w:t>
            </w: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gs, onkologs ginekologs, ģimenes ārsts)</w:t>
            </w:r>
          </w:p>
          <w:p w14:paraId="42A9B69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Šī konsīlija ietvaros ir jālemj par Latvijā kompensējamiem medikamentiem. </w:t>
            </w:r>
          </w:p>
        </w:tc>
      </w:tr>
      <w:tr w:rsidR="002B24D9" w:rsidRPr="002B24D9" w14:paraId="4F1B448D" w14:textId="77777777" w:rsidTr="006A3F62">
        <w:tc>
          <w:tcPr>
            <w:tcW w:w="846" w:type="dxa"/>
          </w:tcPr>
          <w:p w14:paraId="1B8D430C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12</w:t>
            </w:r>
          </w:p>
        </w:tc>
        <w:tc>
          <w:tcPr>
            <w:tcW w:w="2835" w:type="dxa"/>
          </w:tcPr>
          <w:p w14:paraId="1551D198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Prognoze par pacienta veselības stāvokli uz konsīlija norises brīdi</w:t>
            </w:r>
          </w:p>
        </w:tc>
        <w:tc>
          <w:tcPr>
            <w:tcW w:w="9214" w:type="dxa"/>
          </w:tcPr>
          <w:p w14:paraId="7EE26A7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Tiek norādīta  prognozējama īstermiņa vai ilgtermiņa darbnespēja, vai ilgtermiņa invaliditāte. </w:t>
            </w:r>
          </w:p>
        </w:tc>
      </w:tr>
      <w:tr w:rsidR="002B24D9" w:rsidRPr="002B24D9" w14:paraId="402CA89C" w14:textId="77777777" w:rsidTr="006A3F62">
        <w:tc>
          <w:tcPr>
            <w:tcW w:w="846" w:type="dxa"/>
          </w:tcPr>
          <w:p w14:paraId="6421AFA9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13</w:t>
            </w:r>
          </w:p>
        </w:tc>
        <w:tc>
          <w:tcPr>
            <w:tcW w:w="2835" w:type="dxa"/>
          </w:tcPr>
          <w:p w14:paraId="7B5CC97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2B24D9" w:rsidRDefault="002B24D9" w:rsidP="002B24D9">
      <w:pPr>
        <w:jc w:val="center"/>
        <w:rPr>
          <w:rFonts w:ascii="Times New Roman" w:hAnsi="Times New Roman" w:cs="Times New Roman"/>
          <w:b/>
          <w:sz w:val="24"/>
        </w:rPr>
      </w:pPr>
    </w:p>
    <w:p w14:paraId="0B7347F6" w14:textId="77777777" w:rsidR="002B24D9" w:rsidRPr="002B24D9" w:rsidRDefault="002B24D9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B24D9"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609C723F" w14:textId="77777777" w:rsidR="002B24D9" w:rsidRPr="002B24D9" w:rsidRDefault="002B24D9" w:rsidP="002B24D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A8C1422" w14:textId="77777777" w:rsidR="00E0125E" w:rsidRPr="002B24D9" w:rsidRDefault="00E0125E"/>
    <w:sectPr w:rsidR="00E0125E" w:rsidRPr="002B24D9" w:rsidSect="00C239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2B24D9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2021-12-15T15:45:00Z</dcterms:created>
  <dcterms:modified xsi:type="dcterms:W3CDTF">2021-12-15T15:46:00Z</dcterms:modified>
</cp:coreProperties>
</file>