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6C2DBBC" w:rsidR="002C35F4" w:rsidRDefault="00A50BC8" w:rsidP="002C35F4">
      <w:pPr>
        <w:spacing w:after="0" w:line="240" w:lineRule="auto"/>
        <w:rPr>
          <w:b/>
          <w:bCs/>
        </w:rPr>
      </w:pPr>
      <w:r>
        <w:rPr>
          <w:b/>
          <w:bCs/>
        </w:rPr>
        <w:t>21.12</w:t>
      </w:r>
      <w:r w:rsidR="00A80153">
        <w:rPr>
          <w:b/>
          <w:bCs/>
        </w:rPr>
        <w:t>.2021</w:t>
      </w:r>
      <w:r w:rsidR="00DC017F">
        <w:rPr>
          <w:b/>
          <w:bCs/>
        </w:rPr>
        <w:t xml:space="preserve"> </w:t>
      </w:r>
      <w:r w:rsidR="004078D5">
        <w:rPr>
          <w:b/>
          <w:bCs/>
        </w:rPr>
        <w:t>(</w:t>
      </w:r>
      <w:r>
        <w:rPr>
          <w:b/>
          <w:bCs/>
        </w:rPr>
        <w:t>1</w:t>
      </w:r>
      <w:r w:rsidR="004078D5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DAD8082" w14:textId="1BF53AF8" w:rsidR="004078D5" w:rsidRDefault="00A50BC8" w:rsidP="00CF744E">
      <w:pPr>
        <w:spacing w:after="0" w:line="240" w:lineRule="auto"/>
        <w:rPr>
          <w:rFonts w:ascii="Calibri" w:hAnsi="Calibri" w:cs="Calibri"/>
        </w:rPr>
      </w:pPr>
      <w:r w:rsidRPr="00A50BC8">
        <w:rPr>
          <w:rFonts w:ascii="Calibri" w:hAnsi="Calibri" w:cs="Calibri"/>
        </w:rPr>
        <w:t xml:space="preserve">Par </w:t>
      </w:r>
      <w:proofErr w:type="spellStart"/>
      <w:r w:rsidRPr="00A50BC8">
        <w:rPr>
          <w:rFonts w:ascii="Calibri" w:hAnsi="Calibri" w:cs="Calibri"/>
        </w:rPr>
        <w:t>balstvakcinācijas</w:t>
      </w:r>
      <w:proofErr w:type="spellEnd"/>
      <w:r w:rsidRPr="00A50BC8">
        <w:rPr>
          <w:rFonts w:ascii="Calibri" w:hAnsi="Calibri" w:cs="Calibri"/>
        </w:rPr>
        <w:t xml:space="preserve"> nosacījumu izmaiņām</w:t>
      </w:r>
    </w:p>
    <w:p w14:paraId="29E3FF15" w14:textId="77777777" w:rsidR="00A50BC8" w:rsidRDefault="00A50BC8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778D361" w14:textId="77777777" w:rsidR="00A50BC8" w:rsidRPr="00A50BC8" w:rsidRDefault="00A50BC8" w:rsidP="00A50BC8">
      <w:pPr>
        <w:jc w:val="both"/>
        <w:rPr>
          <w:rFonts w:cstheme="minorHAnsi"/>
        </w:rPr>
      </w:pPr>
      <w:r w:rsidRPr="00A50BC8">
        <w:rPr>
          <w:rFonts w:cstheme="minorHAnsi"/>
        </w:rPr>
        <w:t xml:space="preserve">Ievērojot </w:t>
      </w:r>
      <w:r w:rsidRPr="00A50BC8">
        <w:rPr>
          <w:rFonts w:cstheme="minorHAnsi"/>
          <w:color w:val="000000"/>
          <w:shd w:val="clear" w:color="auto" w:fill="FFFFFF"/>
        </w:rPr>
        <w:t>SARS CoV-2 vīrusa Omikron varianta straujo izplatību Eiropā un, lai mazinātu plašas Covid-19 infekcijas izplatības risku Latvijā, I</w:t>
      </w:r>
      <w:r w:rsidRPr="00A50BC8">
        <w:rPr>
          <w:rFonts w:cstheme="minorHAnsi"/>
        </w:rPr>
        <w:t xml:space="preserve">munizācijas valsts padome ir saīsinājusi </w:t>
      </w:r>
      <w:proofErr w:type="spellStart"/>
      <w:r w:rsidRPr="00A50BC8">
        <w:rPr>
          <w:rFonts w:cstheme="minorHAnsi"/>
        </w:rPr>
        <w:t>balstvakcinācijas</w:t>
      </w:r>
      <w:proofErr w:type="spellEnd"/>
      <w:r w:rsidRPr="00A50BC8">
        <w:rPr>
          <w:rFonts w:cstheme="minorHAnsi"/>
        </w:rPr>
        <w:t xml:space="preserve"> saņemšanas intervālu – to var saņemt jau trīs mēnešus pēc primārās vakcinācijas pabeigšanas. </w:t>
      </w:r>
      <w:proofErr w:type="spellStart"/>
      <w:r w:rsidRPr="00A50BC8">
        <w:rPr>
          <w:rFonts w:cstheme="minorHAnsi"/>
        </w:rPr>
        <w:t>Balstvakcīnu</w:t>
      </w:r>
      <w:proofErr w:type="spellEnd"/>
      <w:r w:rsidRPr="00A50BC8">
        <w:rPr>
          <w:rFonts w:cstheme="minorHAnsi"/>
        </w:rPr>
        <w:t xml:space="preserve"> trīs mēnešus pēc otrās potes vakcinācijas persona var  saņemt, sākot 21.decembra. </w:t>
      </w:r>
    </w:p>
    <w:p w14:paraId="7838FAE2" w14:textId="77777777" w:rsidR="00A50BC8" w:rsidRPr="00A50BC8" w:rsidRDefault="00A50BC8" w:rsidP="00A50BC8">
      <w:pPr>
        <w:jc w:val="both"/>
        <w:rPr>
          <w:rFonts w:cstheme="minorHAnsi"/>
          <w:b/>
          <w:bCs/>
        </w:rPr>
      </w:pPr>
      <w:proofErr w:type="spellStart"/>
      <w:r w:rsidRPr="00A50BC8">
        <w:rPr>
          <w:rFonts w:cstheme="minorHAnsi"/>
          <w:b/>
          <w:bCs/>
        </w:rPr>
        <w:t>Balstvakcinācijas</w:t>
      </w:r>
      <w:proofErr w:type="spellEnd"/>
      <w:r w:rsidRPr="00A50BC8">
        <w:rPr>
          <w:rFonts w:cstheme="minorHAnsi"/>
          <w:b/>
          <w:bCs/>
        </w:rPr>
        <w:t xml:space="preserve"> saņemšanas nosacījumi:</w:t>
      </w:r>
    </w:p>
    <w:p w14:paraId="3CFD9F12" w14:textId="77777777" w:rsidR="00A50BC8" w:rsidRPr="00A50BC8" w:rsidRDefault="00A50BC8" w:rsidP="00A50BC8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A50BC8">
        <w:rPr>
          <w:rFonts w:asciiTheme="minorHAnsi" w:eastAsia="Times New Roman" w:hAnsiTheme="minorHAnsi" w:cstheme="minorHAnsi"/>
          <w:i/>
          <w:iCs/>
        </w:rPr>
        <w:t>Janssen</w:t>
      </w:r>
      <w:r w:rsidRPr="00A50BC8">
        <w:rPr>
          <w:rFonts w:asciiTheme="minorHAnsi" w:eastAsia="Times New Roman" w:hAnsiTheme="minorHAnsi" w:cstheme="minorHAnsi"/>
        </w:rPr>
        <w:t xml:space="preserve"> vakcīnu saņēmušās personas - divus mēnešus pēc 1.potes;</w:t>
      </w:r>
    </w:p>
    <w:p w14:paraId="68CC4FD3" w14:textId="77777777" w:rsidR="00A50BC8" w:rsidRPr="00A50BC8" w:rsidRDefault="00A50BC8" w:rsidP="00A50BC8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</w:rPr>
      </w:pPr>
      <w:proofErr w:type="spellStart"/>
      <w:r w:rsidRPr="00A50BC8">
        <w:rPr>
          <w:rFonts w:asciiTheme="minorHAnsi" w:eastAsia="Times New Roman" w:hAnsiTheme="minorHAnsi" w:cstheme="minorHAnsi"/>
          <w:i/>
          <w:iCs/>
        </w:rPr>
        <w:t>Vaxzevria</w:t>
      </w:r>
      <w:proofErr w:type="spellEnd"/>
      <w:r w:rsidRPr="00A50BC8">
        <w:rPr>
          <w:rFonts w:asciiTheme="minorHAnsi" w:eastAsia="Times New Roman" w:hAnsiTheme="minorHAnsi" w:cstheme="minorHAnsi"/>
          <w:i/>
          <w:iCs/>
        </w:rPr>
        <w:t xml:space="preserve"> </w:t>
      </w:r>
      <w:r w:rsidRPr="00A50BC8">
        <w:rPr>
          <w:rFonts w:asciiTheme="minorHAnsi" w:eastAsia="Times New Roman" w:hAnsiTheme="minorHAnsi" w:cstheme="minorHAnsi"/>
        </w:rPr>
        <w:t>(</w:t>
      </w:r>
      <w:r w:rsidRPr="00A50BC8">
        <w:rPr>
          <w:rFonts w:asciiTheme="minorHAnsi" w:eastAsia="Times New Roman" w:hAnsiTheme="minorHAnsi" w:cstheme="minorHAnsi"/>
          <w:i/>
          <w:iCs/>
        </w:rPr>
        <w:t>AstraZeneca</w:t>
      </w:r>
      <w:r w:rsidRPr="00A50BC8">
        <w:rPr>
          <w:rFonts w:asciiTheme="minorHAnsi" w:eastAsia="Times New Roman" w:hAnsiTheme="minorHAnsi" w:cstheme="minorHAnsi"/>
        </w:rPr>
        <w:t>) vakcīnu saņēmušās personas - trīs mēnešus pēc 2.potes;</w:t>
      </w:r>
    </w:p>
    <w:p w14:paraId="011F4D23" w14:textId="77777777" w:rsidR="00A50BC8" w:rsidRPr="00A50BC8" w:rsidRDefault="00A50BC8" w:rsidP="00A50BC8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A50BC8">
        <w:rPr>
          <w:rFonts w:asciiTheme="minorHAnsi" w:eastAsia="Times New Roman" w:hAnsiTheme="minorHAnsi" w:cstheme="minorHAnsi"/>
          <w:i/>
          <w:iCs/>
        </w:rPr>
        <w:t>Comirnaty</w:t>
      </w:r>
      <w:r w:rsidRPr="00A50BC8">
        <w:rPr>
          <w:rFonts w:asciiTheme="minorHAnsi" w:eastAsia="Times New Roman" w:hAnsiTheme="minorHAnsi" w:cstheme="minorHAnsi"/>
        </w:rPr>
        <w:t xml:space="preserve"> (</w:t>
      </w:r>
      <w:r w:rsidRPr="00A50BC8">
        <w:rPr>
          <w:rFonts w:asciiTheme="minorHAnsi" w:eastAsia="Times New Roman" w:hAnsiTheme="minorHAnsi" w:cstheme="minorHAnsi"/>
          <w:i/>
          <w:iCs/>
        </w:rPr>
        <w:t>Pfizer-BioNTech</w:t>
      </w:r>
      <w:r w:rsidRPr="00A50BC8">
        <w:rPr>
          <w:rFonts w:asciiTheme="minorHAnsi" w:eastAsia="Times New Roman" w:hAnsiTheme="minorHAnsi" w:cstheme="minorHAnsi"/>
        </w:rPr>
        <w:t xml:space="preserve">) vai </w:t>
      </w:r>
      <w:proofErr w:type="spellStart"/>
      <w:r w:rsidRPr="00A50BC8">
        <w:rPr>
          <w:rFonts w:asciiTheme="minorHAnsi" w:eastAsia="Times New Roman" w:hAnsiTheme="minorHAnsi" w:cstheme="minorHAnsi"/>
          <w:i/>
          <w:iCs/>
        </w:rPr>
        <w:t>Spikevax</w:t>
      </w:r>
      <w:proofErr w:type="spellEnd"/>
      <w:r w:rsidRPr="00A50BC8">
        <w:rPr>
          <w:rFonts w:asciiTheme="minorHAnsi" w:eastAsia="Times New Roman" w:hAnsiTheme="minorHAnsi" w:cstheme="minorHAnsi"/>
        </w:rPr>
        <w:t xml:space="preserve"> (</w:t>
      </w:r>
      <w:r w:rsidRPr="00A50BC8">
        <w:rPr>
          <w:rFonts w:asciiTheme="minorHAnsi" w:eastAsia="Times New Roman" w:hAnsiTheme="minorHAnsi" w:cstheme="minorHAnsi"/>
          <w:i/>
          <w:iCs/>
        </w:rPr>
        <w:t xml:space="preserve">Moderna) </w:t>
      </w:r>
      <w:r w:rsidRPr="00A50BC8">
        <w:rPr>
          <w:rFonts w:asciiTheme="minorHAnsi" w:eastAsia="Times New Roman" w:hAnsiTheme="minorHAnsi" w:cstheme="minorHAnsi"/>
        </w:rPr>
        <w:t>vakcīnas saņēmušās personas</w:t>
      </w:r>
      <w:r w:rsidRPr="00A50BC8">
        <w:rPr>
          <w:rFonts w:asciiTheme="minorHAnsi" w:eastAsia="Times New Roman" w:hAnsiTheme="minorHAnsi" w:cstheme="minorHAnsi"/>
          <w:i/>
          <w:iCs/>
        </w:rPr>
        <w:t xml:space="preserve"> -  </w:t>
      </w:r>
      <w:r w:rsidRPr="00A50BC8">
        <w:rPr>
          <w:rFonts w:asciiTheme="minorHAnsi" w:eastAsia="Times New Roman" w:hAnsiTheme="minorHAnsi" w:cstheme="minorHAnsi"/>
        </w:rPr>
        <w:t xml:space="preserve">trīs mēnešus pēc 2.potes; </w:t>
      </w:r>
    </w:p>
    <w:p w14:paraId="28DEF861" w14:textId="77777777" w:rsidR="00A50BC8" w:rsidRPr="00A50BC8" w:rsidRDefault="00A50BC8" w:rsidP="00A50BC8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A50BC8">
        <w:rPr>
          <w:rFonts w:asciiTheme="minorHAnsi" w:eastAsia="Times New Roman" w:hAnsiTheme="minorHAnsi" w:cstheme="minorHAnsi"/>
        </w:rPr>
        <w:t xml:space="preserve">Covid-19 pārslimojušas personas un vakcinējušās ar vienu poti -  trīs mēnešus pēc potes vai pārslimošanas (atkarībā, kas bijis pēdējais); </w:t>
      </w:r>
    </w:p>
    <w:p w14:paraId="0CEB71B7" w14:textId="77777777" w:rsidR="00A50BC8" w:rsidRPr="00A50BC8" w:rsidRDefault="00A50BC8" w:rsidP="00A50BC8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lang w:val="en-US"/>
        </w:rPr>
      </w:pPr>
      <w:r w:rsidRPr="00A50BC8">
        <w:rPr>
          <w:rFonts w:asciiTheme="minorHAnsi" w:eastAsia="Times New Roman" w:hAnsiTheme="minorHAnsi" w:cstheme="minorHAnsi"/>
        </w:rPr>
        <w:t xml:space="preserve">personas ar novājinātu imunitāti un vakcinējušās ar trīs potēm - sešus mēnešus pēc 3.potes; </w:t>
      </w:r>
    </w:p>
    <w:p w14:paraId="3F763B9B" w14:textId="77777777" w:rsidR="00A50BC8" w:rsidRPr="00A50BC8" w:rsidRDefault="00A50BC8" w:rsidP="00A50BC8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</w:rPr>
      </w:pPr>
      <w:r w:rsidRPr="00A50BC8">
        <w:rPr>
          <w:rFonts w:asciiTheme="minorHAnsi" w:eastAsia="Times New Roman" w:hAnsiTheme="minorHAnsi" w:cstheme="minorHAnsi"/>
        </w:rPr>
        <w:t xml:space="preserve">neveic jauniešiem vecumā no 12 līdz 17 gadiem.  </w:t>
      </w:r>
    </w:p>
    <w:p w14:paraId="35D97B65" w14:textId="77777777" w:rsidR="00A50BC8" w:rsidRPr="00A50BC8" w:rsidRDefault="00A50BC8" w:rsidP="00A50BC8">
      <w:pPr>
        <w:jc w:val="both"/>
        <w:rPr>
          <w:rFonts w:cstheme="minorHAnsi"/>
        </w:rPr>
      </w:pPr>
      <w:r w:rsidRPr="00A50BC8">
        <w:rPr>
          <w:rFonts w:cstheme="minorHAnsi"/>
        </w:rPr>
        <w:t xml:space="preserve">Covid-19 pārslimojušas personas un kuras vakcinējušās ar divām potēm, atsevišķos gadījumos  </w:t>
      </w:r>
      <w:proofErr w:type="spellStart"/>
      <w:r w:rsidRPr="00A50BC8">
        <w:rPr>
          <w:rFonts w:cstheme="minorHAnsi"/>
        </w:rPr>
        <w:t>balstvakcīnu</w:t>
      </w:r>
      <w:proofErr w:type="spellEnd"/>
      <w:r w:rsidRPr="00A50BC8">
        <w:rPr>
          <w:rFonts w:cstheme="minorHAnsi"/>
        </w:rPr>
        <w:t xml:space="preserve"> var saņemt sešus mēnešus pēc potes vai pārslimošanas (atkarībā, kas bijis pēdējais). </w:t>
      </w:r>
    </w:p>
    <w:p w14:paraId="735F97D2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</w:rPr>
      </w:pPr>
      <w:r w:rsidRPr="00A50BC8">
        <w:rPr>
          <w:rFonts w:asciiTheme="minorHAnsi" w:hAnsiTheme="minorHAnsi" w:cstheme="minorHAnsi"/>
        </w:rPr>
        <w:t> </w:t>
      </w:r>
    </w:p>
    <w:p w14:paraId="35505417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  <w:color w:val="000000"/>
          <w:shd w:val="clear" w:color="auto" w:fill="FFFFFF"/>
        </w:rPr>
      </w:pPr>
      <w:r w:rsidRPr="00A50BC8">
        <w:rPr>
          <w:rFonts w:asciiTheme="minorHAnsi" w:hAnsiTheme="minorHAnsi" w:cstheme="minorHAnsi"/>
        </w:rPr>
        <w:t xml:space="preserve">Nacionālais veselības dienests vērš uzmanību, ka </w:t>
      </w:r>
      <w:r w:rsidRPr="00A50BC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Covid-19 vakcīnas gan bērnu, gan pieaugušo vecumā var ievadīt vienlaicīgi ar citām</w:t>
      </w:r>
      <w:r w:rsidRPr="00A50BC8">
        <w:rPr>
          <w:rStyle w:val="scxw249901706"/>
          <w:rFonts w:asciiTheme="minorHAnsi" w:hAnsiTheme="minorHAnsi" w:cstheme="minorHAnsi"/>
          <w:color w:val="000000"/>
          <w:shd w:val="clear" w:color="auto" w:fill="FFFFFF"/>
        </w:rPr>
        <w:t> </w:t>
      </w:r>
      <w:r w:rsidRPr="00A50BC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vakcīnām tajā pašā dienā vai jebkādā intervālā pirms un pēc Covid-19 vakcīnas</w:t>
      </w:r>
      <w:r w:rsidRPr="00A50BC8">
        <w:rPr>
          <w:rStyle w:val="scxw249901706"/>
          <w:rFonts w:asciiTheme="minorHAnsi" w:hAnsiTheme="minorHAnsi" w:cstheme="minorHAnsi"/>
          <w:color w:val="000000"/>
          <w:shd w:val="clear" w:color="auto" w:fill="FFFFFF"/>
        </w:rPr>
        <w:t> </w:t>
      </w:r>
      <w:r w:rsidRPr="00A50BC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saņemšanas. </w:t>
      </w:r>
      <w:r w:rsidRPr="00A50BC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65B6D97C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  <w:color w:val="000000"/>
        </w:rPr>
      </w:pPr>
    </w:p>
    <w:p w14:paraId="32C24FCD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</w:rPr>
      </w:pPr>
      <w:r w:rsidRPr="00A50BC8">
        <w:rPr>
          <w:rFonts w:asciiTheme="minorHAnsi" w:hAnsiTheme="minorHAnsi" w:cstheme="minorHAnsi"/>
        </w:rPr>
        <w:t xml:space="preserve">Citas izmaiņas, kas iekļautas </w:t>
      </w:r>
      <w:r w:rsidRPr="00A50BC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Covid-19 </w:t>
      </w:r>
      <w:r w:rsidRPr="00A50BC8">
        <w:rPr>
          <w:rFonts w:asciiTheme="minorHAnsi" w:hAnsiTheme="minorHAnsi" w:cstheme="minorHAnsi"/>
        </w:rPr>
        <w:t>vakcinācijas rokasgrāmatā:</w:t>
      </w:r>
    </w:p>
    <w:p w14:paraId="637C3892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</w:rPr>
      </w:pPr>
      <w:hyperlink r:id="rId5" w:history="1">
        <w:r w:rsidRPr="00A50BC8">
          <w:rPr>
            <w:rStyle w:val="Hyperlink"/>
            <w:rFonts w:asciiTheme="minorHAnsi" w:hAnsiTheme="minorHAnsi" w:cstheme="minorHAnsi"/>
          </w:rPr>
          <w:t>https://www.vmnvd.gov.lv/lv/vakcinacijas-rokasgramata-informativais-materials-vakcinacijas-veicejiem</w:t>
        </w:r>
      </w:hyperlink>
    </w:p>
    <w:p w14:paraId="2F9335B9" w14:textId="77777777" w:rsidR="00A50BC8" w:rsidRPr="00A50BC8" w:rsidRDefault="00A50BC8" w:rsidP="00A50BC8">
      <w:pPr>
        <w:pStyle w:val="ListParagraph"/>
        <w:numPr>
          <w:ilvl w:val="0"/>
          <w:numId w:val="17"/>
        </w:numPr>
        <w:shd w:val="clear" w:color="auto" w:fill="FFFFFF"/>
        <w:spacing w:after="200" w:line="231" w:lineRule="atLeast"/>
        <w:contextualSpacing/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gan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bērnu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,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gan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pieaugušo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vecumā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primārā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vakcinācija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pret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Covid-19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pēc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SARS CoV-2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infekcijas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rekomendējama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sākot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no 30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dienām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pēc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pozitīvā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SARS CoV-2 </w:t>
      </w:r>
      <w:proofErr w:type="spellStart"/>
      <w:proofErr w:type="gram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testa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>;</w:t>
      </w:r>
      <w:proofErr w:type="gramEnd"/>
    </w:p>
    <w:p w14:paraId="3D80B746" w14:textId="77777777" w:rsidR="00A50BC8" w:rsidRPr="00A50BC8" w:rsidRDefault="00A50BC8" w:rsidP="00A50BC8">
      <w:pPr>
        <w:pStyle w:val="ListParagraph"/>
        <w:numPr>
          <w:ilvl w:val="0"/>
          <w:numId w:val="17"/>
        </w:numPr>
        <w:shd w:val="clear" w:color="auto" w:fill="FFFFFF"/>
        <w:spacing w:after="200" w:line="231" w:lineRule="atLeast"/>
        <w:contextualSpacing/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personām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, kas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iepriekš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saņēmušas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vakcināciju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pret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Covid-19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ar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ES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neatzītām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vakcīnām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,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vakcinācija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uzsākama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un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turpināma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kā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iepriekš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nevakcinētām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 xml:space="preserve"> </w:t>
      </w:r>
      <w:proofErr w:type="spellStart"/>
      <w:proofErr w:type="gramStart"/>
      <w:r w:rsidRPr="00A50BC8">
        <w:rPr>
          <w:rFonts w:asciiTheme="minorHAnsi" w:eastAsia="Times New Roman" w:hAnsiTheme="minorHAnsi" w:cstheme="minorHAnsi"/>
          <w:color w:val="000000"/>
          <w:lang w:val="en-US"/>
        </w:rPr>
        <w:t>personām</w:t>
      </w:r>
      <w:proofErr w:type="spellEnd"/>
      <w:r w:rsidRPr="00A50BC8">
        <w:rPr>
          <w:rFonts w:asciiTheme="minorHAnsi" w:eastAsia="Times New Roman" w:hAnsiTheme="minorHAnsi" w:cstheme="minorHAnsi"/>
          <w:color w:val="000000"/>
          <w:lang w:val="en-US"/>
        </w:rPr>
        <w:t>;</w:t>
      </w:r>
      <w:proofErr w:type="gramEnd"/>
    </w:p>
    <w:p w14:paraId="0E03D3B2" w14:textId="77777777" w:rsidR="00A50BC8" w:rsidRPr="00A50BC8" w:rsidRDefault="00A50BC8" w:rsidP="00A50BC8">
      <w:pPr>
        <w:pStyle w:val="ListParagraph"/>
        <w:numPr>
          <w:ilvl w:val="0"/>
          <w:numId w:val="17"/>
        </w:numPr>
        <w:shd w:val="clear" w:color="auto" w:fill="FFFFFF"/>
        <w:spacing w:after="200" w:line="231" w:lineRule="atLeast"/>
        <w:contextualSpacing/>
        <w:jc w:val="both"/>
        <w:rPr>
          <w:rStyle w:val="normaltextrun"/>
          <w:rFonts w:asciiTheme="minorHAnsi" w:hAnsiTheme="minorHAnsi" w:cstheme="minorHAnsi"/>
        </w:rPr>
      </w:pP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ievietota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informācija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par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tīmekļa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vietnes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adresi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,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kur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proofErr w:type="gram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izvietotas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 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Latvijas</w:t>
      </w:r>
      <w:proofErr w:type="spellEnd"/>
      <w:proofErr w:type="gram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Alergologu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asociācijas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rekomendācijas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SARS-CoV-2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vakcinācijas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smagu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alerģisku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reakciju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riska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 xml:space="preserve"> </w:t>
      </w:r>
      <w:proofErr w:type="spellStart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izvērtēšanu</w:t>
      </w:r>
      <w:proofErr w:type="spellEnd"/>
      <w:r w:rsidRPr="00A50BC8">
        <w:rPr>
          <w:rStyle w:val="normaltextrun"/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;</w:t>
      </w:r>
    </w:p>
    <w:p w14:paraId="43DD1048" w14:textId="77777777" w:rsidR="00A50BC8" w:rsidRPr="00A50BC8" w:rsidRDefault="00A50BC8" w:rsidP="00A50BC8">
      <w:pPr>
        <w:pStyle w:val="ListParagraph"/>
        <w:numPr>
          <w:ilvl w:val="0"/>
          <w:numId w:val="17"/>
        </w:numPr>
        <w:shd w:val="clear" w:color="auto" w:fill="FFFFFF"/>
        <w:spacing w:after="200" w:line="231" w:lineRule="atLeast"/>
        <w:contextualSpacing/>
        <w:jc w:val="both"/>
        <w:rPr>
          <w:rStyle w:val="eop"/>
          <w:rFonts w:asciiTheme="minorHAnsi" w:hAnsiTheme="minorHAnsi" w:cstheme="minorHAnsi"/>
        </w:rPr>
      </w:pPr>
      <w:r w:rsidRPr="00A50BC8">
        <w:rPr>
          <w:rStyle w:val="normaltextrun"/>
          <w:rFonts w:asciiTheme="minorHAnsi" w:eastAsia="Times New Roman" w:hAnsiTheme="minorHAnsi" w:cstheme="minorHAnsi"/>
          <w:color w:val="000000"/>
        </w:rPr>
        <w:t>Covid-19 vakcinācijas kabinetā ( ārpus ģimenes ārsta prakses) var veikt valsts apmaksātu vakcināciju pret sezonālo gripu: </w:t>
      </w:r>
      <w:r w:rsidRPr="00A50BC8">
        <w:rPr>
          <w:rStyle w:val="eop"/>
          <w:rFonts w:asciiTheme="minorHAnsi" w:eastAsia="Times New Roman" w:hAnsiTheme="minorHAnsi" w:cstheme="minorHAnsi"/>
          <w:color w:val="000000"/>
        </w:rPr>
        <w:t> </w:t>
      </w:r>
    </w:p>
    <w:p w14:paraId="12C671FA" w14:textId="77777777" w:rsidR="00A50BC8" w:rsidRPr="00A50BC8" w:rsidRDefault="00A50BC8" w:rsidP="00A50BC8">
      <w:pPr>
        <w:pStyle w:val="ListParagraph"/>
        <w:numPr>
          <w:ilvl w:val="1"/>
          <w:numId w:val="17"/>
        </w:numPr>
        <w:shd w:val="clear" w:color="auto" w:fill="FFFFFF"/>
        <w:spacing w:after="200" w:line="231" w:lineRule="atLeast"/>
        <w:contextualSpacing/>
        <w:jc w:val="both"/>
        <w:rPr>
          <w:rStyle w:val="eop"/>
          <w:rFonts w:asciiTheme="minorHAnsi" w:hAnsiTheme="minorHAnsi" w:cstheme="minorHAnsi"/>
          <w:lang w:val="en-US"/>
        </w:rPr>
      </w:pPr>
      <w:r w:rsidRPr="00A50BC8">
        <w:rPr>
          <w:rStyle w:val="normaltextrun"/>
          <w:rFonts w:asciiTheme="minorHAnsi" w:eastAsia="Times New Roman" w:hAnsiTheme="minorHAnsi" w:cstheme="minorHAnsi"/>
          <w:color w:val="000000"/>
        </w:rPr>
        <w:t>personām, kuras  vecākas par 65 gadiem;</w:t>
      </w:r>
      <w:r w:rsidRPr="00A50BC8">
        <w:rPr>
          <w:rStyle w:val="eop"/>
          <w:rFonts w:asciiTheme="minorHAnsi" w:eastAsia="Times New Roman" w:hAnsiTheme="minorHAnsi" w:cstheme="minorHAnsi"/>
          <w:color w:val="000000"/>
        </w:rPr>
        <w:t> </w:t>
      </w:r>
    </w:p>
    <w:p w14:paraId="620F32CC" w14:textId="77777777" w:rsidR="00A50BC8" w:rsidRPr="00A50BC8" w:rsidRDefault="00A50BC8" w:rsidP="00A50BC8">
      <w:pPr>
        <w:pStyle w:val="ListParagraph"/>
        <w:numPr>
          <w:ilvl w:val="1"/>
          <w:numId w:val="17"/>
        </w:numPr>
        <w:shd w:val="clear" w:color="auto" w:fill="FFFFFF"/>
        <w:spacing w:after="200" w:line="231" w:lineRule="atLeast"/>
        <w:contextualSpacing/>
        <w:jc w:val="both"/>
        <w:rPr>
          <w:rStyle w:val="normaltextrun"/>
          <w:rFonts w:asciiTheme="minorHAnsi" w:hAnsiTheme="minorHAnsi" w:cstheme="minorHAnsi"/>
        </w:rPr>
      </w:pPr>
      <w:r w:rsidRPr="00A50BC8">
        <w:rPr>
          <w:rStyle w:val="normaltextrun"/>
          <w:rFonts w:asciiTheme="minorHAnsi" w:eastAsia="Times New Roman" w:hAnsiTheme="minorHAnsi" w:cstheme="minorHAnsi"/>
          <w:color w:val="000000"/>
        </w:rPr>
        <w:t>personām, kuras parakstījušas apliecinājumu par piederību normatīvos aktos noteiktai riska grupai;</w:t>
      </w:r>
    </w:p>
    <w:p w14:paraId="7C1CB80A" w14:textId="77777777" w:rsidR="00A50BC8" w:rsidRPr="00A50BC8" w:rsidRDefault="00A50BC8" w:rsidP="00A50BC8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inorHAnsi" w:eastAsia="Times New Roman" w:hAnsiTheme="minorHAnsi" w:cstheme="minorHAnsi"/>
        </w:rPr>
      </w:pPr>
      <w:r w:rsidRPr="00A50BC8">
        <w:rPr>
          <w:rFonts w:asciiTheme="minorHAnsi" w:eastAsia="Times New Roman" w:hAnsiTheme="minorHAnsi" w:cstheme="minorHAnsi"/>
          <w:color w:val="000000"/>
        </w:rPr>
        <w:t>labota “</w:t>
      </w:r>
      <w:r w:rsidRPr="00A50BC8">
        <w:rPr>
          <w:rStyle w:val="normaltextrun"/>
          <w:rFonts w:asciiTheme="minorHAnsi" w:eastAsia="Times New Roman" w:hAnsiTheme="minorHAnsi" w:cstheme="minorHAnsi"/>
        </w:rPr>
        <w:t>Veidlapa personas veselības stāvokļa novērtēšanai pirms vakcinācijas pret Covid-19</w:t>
      </w:r>
      <w:r w:rsidRPr="00A50BC8">
        <w:rPr>
          <w:rStyle w:val="eop"/>
          <w:rFonts w:asciiTheme="minorHAnsi" w:eastAsia="Times New Roman" w:hAnsiTheme="minorHAnsi" w:cstheme="minorHAnsi"/>
        </w:rPr>
        <w:t xml:space="preserve"> “ un pievienota e-pasta pielikumā.</w:t>
      </w:r>
    </w:p>
    <w:p w14:paraId="74CD421A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</w:rPr>
      </w:pPr>
    </w:p>
    <w:p w14:paraId="016DE3FF" w14:textId="77777777" w:rsidR="00A50BC8" w:rsidRPr="00A50BC8" w:rsidRDefault="00A50BC8" w:rsidP="00A50BC8">
      <w:pPr>
        <w:pStyle w:val="xmsonormal"/>
        <w:rPr>
          <w:rFonts w:asciiTheme="minorHAnsi" w:hAnsiTheme="minorHAnsi" w:cstheme="minorHAnsi"/>
        </w:rPr>
      </w:pPr>
      <w:r w:rsidRPr="00A50BC8">
        <w:rPr>
          <w:rFonts w:asciiTheme="minorHAnsi" w:hAnsiTheme="minorHAnsi" w:cstheme="minorHAnsi"/>
        </w:rPr>
        <w:lastRenderedPageBreak/>
        <w:t xml:space="preserve">Vēstules pielikumā pievienota Nacionālā veselības dienesta sagatavotā preses </w:t>
      </w:r>
      <w:proofErr w:type="spellStart"/>
      <w:r w:rsidRPr="00A50BC8">
        <w:rPr>
          <w:rFonts w:asciiTheme="minorHAnsi" w:hAnsiTheme="minorHAnsi" w:cstheme="minorHAnsi"/>
        </w:rPr>
        <w:t>relīze</w:t>
      </w:r>
      <w:proofErr w:type="spellEnd"/>
      <w:r w:rsidRPr="00A50BC8">
        <w:rPr>
          <w:rFonts w:asciiTheme="minorHAnsi" w:hAnsiTheme="minorHAnsi" w:cstheme="minorHAnsi"/>
        </w:rPr>
        <w:t xml:space="preserve"> iedzīvotājiem</w:t>
      </w:r>
    </w:p>
    <w:p w14:paraId="6B5425FC" w14:textId="64F206B5" w:rsidR="004078D5" w:rsidRPr="00A50BC8" w:rsidRDefault="008137AF" w:rsidP="00A50BC8">
      <w:pPr>
        <w:rPr>
          <w:rFonts w:cstheme="minorHAnsi"/>
          <w:b/>
          <w:bCs/>
        </w:rPr>
      </w:pPr>
      <w:r>
        <w:object w:dxaOrig="1540" w:dyaOrig="997" w14:anchorId="2D9F5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6" o:title=""/>
          </v:shape>
          <o:OLEObject Type="Embed" ProgID="Word.Document.12" ShapeID="_x0000_i1029" DrawAspect="Icon" ObjectID="_1702299937" r:id="rId7">
            <o:FieldCodes>\s</o:FieldCodes>
          </o:OLEObject>
        </w:object>
      </w:r>
      <w:r>
        <w:object w:dxaOrig="1540" w:dyaOrig="997" w14:anchorId="53D15122">
          <v:shape id="_x0000_i1028" type="#_x0000_t75" style="width:77.25pt;height:49.5pt" o:ole="">
            <v:imagedata r:id="rId8" o:title=""/>
          </v:shape>
          <o:OLEObject Type="Embed" ProgID="Word.Document.12" ShapeID="_x0000_i1028" DrawAspect="Icon" ObjectID="_1702299938" r:id="rId9">
            <o:FieldCodes>\s</o:FieldCodes>
          </o:OLEObject>
        </w:object>
      </w:r>
      <w:r>
        <w:object w:dxaOrig="1540" w:dyaOrig="997" w14:anchorId="20227512">
          <v:shape id="_x0000_i1027" type="#_x0000_t75" style="width:77.25pt;height:49.5pt" o:ole="">
            <v:imagedata r:id="rId10" o:title=""/>
          </v:shape>
          <o:OLEObject Type="Embed" ProgID="PowerPoint.Show.12" ShapeID="_x0000_i1027" DrawAspect="Icon" ObjectID="_1702299939" r:id="rId11"/>
        </w:object>
      </w:r>
    </w:p>
    <w:sectPr w:rsidR="004078D5" w:rsidRPr="00A50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10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11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8268D"/>
    <w:rsid w:val="004A4644"/>
    <w:rsid w:val="004A4E77"/>
    <w:rsid w:val="00517648"/>
    <w:rsid w:val="005A345A"/>
    <w:rsid w:val="006E1BC3"/>
    <w:rsid w:val="006F0546"/>
    <w:rsid w:val="0071736A"/>
    <w:rsid w:val="007C1832"/>
    <w:rsid w:val="008137A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Presentation.pptx"/><Relationship Id="rId5" Type="http://schemas.openxmlformats.org/officeDocument/2006/relationships/hyperlink" Target="https://www.vmnvd.gov.lv/lv/vakcinacijas-rokasgramata-informativais-materials-vakcinacijas-veicejiem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2021-12-29T14:19:00Z</dcterms:created>
  <dcterms:modified xsi:type="dcterms:W3CDTF">2021-12-29T14:19:00Z</dcterms:modified>
</cp:coreProperties>
</file>