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77777777"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1791169995"/>
        <w:docPartObj>
          <w:docPartGallery w:val="Table of Contents"/>
          <w:docPartUnique/>
        </w:docPartObj>
      </w:sdtPr>
      <w:sdtEndPr>
        <w:rPr>
          <w:b/>
          <w:bCs/>
          <w:noProof/>
        </w:rPr>
      </w:sdtEndPr>
      <w:sdtContent>
        <w:p w14:paraId="2D8925B5" w14:textId="69CC3DB4" w:rsidR="00BF647B" w:rsidRDefault="00BF647B">
          <w:pPr>
            <w:pStyle w:val="TOCHeading"/>
          </w:pPr>
        </w:p>
        <w:p w14:paraId="7130232D" w14:textId="3FDC8E40" w:rsidR="00BF647B" w:rsidRDefault="00BF647B" w:rsidP="00BF647B">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91758588" w:history="1">
            <w:r w:rsidRPr="006F0458">
              <w:rPr>
                <w:rStyle w:val="Hyperlink"/>
                <w:noProof/>
              </w:rPr>
              <w:t>Izmaiņas Manipulāciju sarakstā no 01.01.2022.</w:t>
            </w:r>
            <w:r>
              <w:rPr>
                <w:noProof/>
                <w:webHidden/>
              </w:rPr>
              <w:tab/>
            </w:r>
            <w:r>
              <w:rPr>
                <w:noProof/>
                <w:webHidden/>
              </w:rPr>
              <w:fldChar w:fldCharType="begin"/>
            </w:r>
            <w:r>
              <w:rPr>
                <w:noProof/>
                <w:webHidden/>
              </w:rPr>
              <w:instrText xml:space="preserve"> PAGEREF _Toc91758588 \h </w:instrText>
            </w:r>
            <w:r>
              <w:rPr>
                <w:noProof/>
                <w:webHidden/>
              </w:rPr>
            </w:r>
            <w:r>
              <w:rPr>
                <w:noProof/>
                <w:webHidden/>
              </w:rPr>
              <w:fldChar w:fldCharType="separate"/>
            </w:r>
            <w:r>
              <w:rPr>
                <w:noProof/>
                <w:webHidden/>
              </w:rPr>
              <w:t>4</w:t>
            </w:r>
            <w:r>
              <w:rPr>
                <w:noProof/>
                <w:webHidden/>
              </w:rPr>
              <w:fldChar w:fldCharType="end"/>
            </w:r>
          </w:hyperlink>
        </w:p>
        <w:p w14:paraId="60F72414" w14:textId="33B0DB80" w:rsidR="00BF647B" w:rsidRDefault="00974D40" w:rsidP="00BF647B">
          <w:pPr>
            <w:pStyle w:val="TOC1"/>
            <w:tabs>
              <w:tab w:val="right" w:leader="dot" w:pos="15390"/>
            </w:tabs>
            <w:rPr>
              <w:rFonts w:asciiTheme="minorHAnsi" w:eastAsiaTheme="minorEastAsia" w:hAnsiTheme="minorHAnsi" w:cstheme="minorBidi"/>
              <w:noProof/>
              <w:sz w:val="22"/>
              <w:szCs w:val="22"/>
              <w:lang w:eastAsia="lv-LV"/>
            </w:rPr>
          </w:pPr>
          <w:hyperlink w:anchor="_Toc91758590" w:history="1">
            <w:r w:rsidR="00BF647B" w:rsidRPr="006F0458">
              <w:rPr>
                <w:rStyle w:val="Hyperlink"/>
                <w:noProof/>
              </w:rPr>
              <w:t>Izmaiņas Manipulāciju sarakstā no 01.11.2021.</w:t>
            </w:r>
            <w:r w:rsidR="00BF647B">
              <w:rPr>
                <w:noProof/>
                <w:webHidden/>
              </w:rPr>
              <w:tab/>
            </w:r>
            <w:r w:rsidR="00BF647B">
              <w:rPr>
                <w:noProof/>
                <w:webHidden/>
              </w:rPr>
              <w:fldChar w:fldCharType="begin"/>
            </w:r>
            <w:r w:rsidR="00BF647B">
              <w:rPr>
                <w:noProof/>
                <w:webHidden/>
              </w:rPr>
              <w:instrText xml:space="preserve"> PAGEREF _Toc91758590 \h </w:instrText>
            </w:r>
            <w:r w:rsidR="00BF647B">
              <w:rPr>
                <w:noProof/>
                <w:webHidden/>
              </w:rPr>
            </w:r>
            <w:r w:rsidR="00BF647B">
              <w:rPr>
                <w:noProof/>
                <w:webHidden/>
              </w:rPr>
              <w:fldChar w:fldCharType="separate"/>
            </w:r>
            <w:r w:rsidR="00BF647B">
              <w:rPr>
                <w:noProof/>
                <w:webHidden/>
              </w:rPr>
              <w:t>76</w:t>
            </w:r>
            <w:r w:rsidR="00BF647B">
              <w:rPr>
                <w:noProof/>
                <w:webHidden/>
              </w:rPr>
              <w:fldChar w:fldCharType="end"/>
            </w:r>
          </w:hyperlink>
        </w:p>
        <w:p w14:paraId="042FF221" w14:textId="2723E52D"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2" w:history="1">
            <w:r w:rsidR="00BF647B" w:rsidRPr="006F0458">
              <w:rPr>
                <w:rStyle w:val="Hyperlink"/>
                <w:noProof/>
              </w:rPr>
              <w:t>Izmaiņas Manipulāciju sarakstā no 15.10.2021.</w:t>
            </w:r>
            <w:r w:rsidR="00BF647B">
              <w:rPr>
                <w:noProof/>
                <w:webHidden/>
              </w:rPr>
              <w:tab/>
            </w:r>
            <w:r w:rsidR="00BF647B">
              <w:rPr>
                <w:noProof/>
                <w:webHidden/>
              </w:rPr>
              <w:fldChar w:fldCharType="begin"/>
            </w:r>
            <w:r w:rsidR="00BF647B">
              <w:rPr>
                <w:noProof/>
                <w:webHidden/>
              </w:rPr>
              <w:instrText xml:space="preserve"> PAGEREF _Toc91758592 \h </w:instrText>
            </w:r>
            <w:r w:rsidR="00BF647B">
              <w:rPr>
                <w:noProof/>
                <w:webHidden/>
              </w:rPr>
            </w:r>
            <w:r w:rsidR="00BF647B">
              <w:rPr>
                <w:noProof/>
                <w:webHidden/>
              </w:rPr>
              <w:fldChar w:fldCharType="separate"/>
            </w:r>
            <w:r w:rsidR="00BF647B">
              <w:rPr>
                <w:noProof/>
                <w:webHidden/>
              </w:rPr>
              <w:t>81</w:t>
            </w:r>
            <w:r w:rsidR="00BF647B">
              <w:rPr>
                <w:noProof/>
                <w:webHidden/>
              </w:rPr>
              <w:fldChar w:fldCharType="end"/>
            </w:r>
          </w:hyperlink>
        </w:p>
        <w:p w14:paraId="3E688DD1" w14:textId="3870D6B9"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3" w:history="1">
            <w:r w:rsidR="00BF647B" w:rsidRPr="006F0458">
              <w:rPr>
                <w:rStyle w:val="Hyperlink"/>
                <w:noProof/>
              </w:rPr>
              <w:t>Izmaiņas Manipulāciju sarakstā no 01.10.2021.</w:t>
            </w:r>
            <w:r w:rsidR="00BF647B">
              <w:rPr>
                <w:noProof/>
                <w:webHidden/>
              </w:rPr>
              <w:tab/>
            </w:r>
            <w:r w:rsidR="00BF647B">
              <w:rPr>
                <w:noProof/>
                <w:webHidden/>
              </w:rPr>
              <w:fldChar w:fldCharType="begin"/>
            </w:r>
            <w:r w:rsidR="00BF647B">
              <w:rPr>
                <w:noProof/>
                <w:webHidden/>
              </w:rPr>
              <w:instrText xml:space="preserve"> PAGEREF _Toc91758593 \h </w:instrText>
            </w:r>
            <w:r w:rsidR="00BF647B">
              <w:rPr>
                <w:noProof/>
                <w:webHidden/>
              </w:rPr>
            </w:r>
            <w:r w:rsidR="00BF647B">
              <w:rPr>
                <w:noProof/>
                <w:webHidden/>
              </w:rPr>
              <w:fldChar w:fldCharType="separate"/>
            </w:r>
            <w:r w:rsidR="00BF647B">
              <w:rPr>
                <w:noProof/>
                <w:webHidden/>
              </w:rPr>
              <w:t>89</w:t>
            </w:r>
            <w:r w:rsidR="00BF647B">
              <w:rPr>
                <w:noProof/>
                <w:webHidden/>
              </w:rPr>
              <w:fldChar w:fldCharType="end"/>
            </w:r>
          </w:hyperlink>
        </w:p>
        <w:p w14:paraId="4C155CBF" w14:textId="06126D11"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4" w:history="1">
            <w:r w:rsidR="00BF647B" w:rsidRPr="006F0458">
              <w:rPr>
                <w:rStyle w:val="Hyperlink"/>
                <w:noProof/>
              </w:rPr>
              <w:t>Izmaiņas Manipulāciju sarakstā no 11.08.2021.</w:t>
            </w:r>
            <w:r w:rsidR="00BF647B">
              <w:rPr>
                <w:noProof/>
                <w:webHidden/>
              </w:rPr>
              <w:tab/>
            </w:r>
            <w:r w:rsidR="00BF647B">
              <w:rPr>
                <w:noProof/>
                <w:webHidden/>
              </w:rPr>
              <w:fldChar w:fldCharType="begin"/>
            </w:r>
            <w:r w:rsidR="00BF647B">
              <w:rPr>
                <w:noProof/>
                <w:webHidden/>
              </w:rPr>
              <w:instrText xml:space="preserve"> PAGEREF _Toc91758594 \h </w:instrText>
            </w:r>
            <w:r w:rsidR="00BF647B">
              <w:rPr>
                <w:noProof/>
                <w:webHidden/>
              </w:rPr>
            </w:r>
            <w:r w:rsidR="00BF647B">
              <w:rPr>
                <w:noProof/>
                <w:webHidden/>
              </w:rPr>
              <w:fldChar w:fldCharType="separate"/>
            </w:r>
            <w:r w:rsidR="00BF647B">
              <w:rPr>
                <w:noProof/>
                <w:webHidden/>
              </w:rPr>
              <w:t>109</w:t>
            </w:r>
            <w:r w:rsidR="00BF647B">
              <w:rPr>
                <w:noProof/>
                <w:webHidden/>
              </w:rPr>
              <w:fldChar w:fldCharType="end"/>
            </w:r>
          </w:hyperlink>
        </w:p>
        <w:p w14:paraId="6A93F2B6" w14:textId="46E8588E"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5" w:history="1">
            <w:r w:rsidR="00BF647B" w:rsidRPr="006F0458">
              <w:rPr>
                <w:rStyle w:val="Hyperlink"/>
                <w:noProof/>
              </w:rPr>
              <w:t>Izmaiņas Manipulāciju sarakstā no 12.07.2021.</w:t>
            </w:r>
            <w:r w:rsidR="00BF647B">
              <w:rPr>
                <w:noProof/>
                <w:webHidden/>
              </w:rPr>
              <w:tab/>
            </w:r>
            <w:r w:rsidR="00BF647B">
              <w:rPr>
                <w:noProof/>
                <w:webHidden/>
              </w:rPr>
              <w:fldChar w:fldCharType="begin"/>
            </w:r>
            <w:r w:rsidR="00BF647B">
              <w:rPr>
                <w:noProof/>
                <w:webHidden/>
              </w:rPr>
              <w:instrText xml:space="preserve"> PAGEREF _Toc91758595 \h </w:instrText>
            </w:r>
            <w:r w:rsidR="00BF647B">
              <w:rPr>
                <w:noProof/>
                <w:webHidden/>
              </w:rPr>
            </w:r>
            <w:r w:rsidR="00BF647B">
              <w:rPr>
                <w:noProof/>
                <w:webHidden/>
              </w:rPr>
              <w:fldChar w:fldCharType="separate"/>
            </w:r>
            <w:r w:rsidR="00BF647B">
              <w:rPr>
                <w:noProof/>
                <w:webHidden/>
              </w:rPr>
              <w:t>110</w:t>
            </w:r>
            <w:r w:rsidR="00BF647B">
              <w:rPr>
                <w:noProof/>
                <w:webHidden/>
              </w:rPr>
              <w:fldChar w:fldCharType="end"/>
            </w:r>
          </w:hyperlink>
        </w:p>
        <w:p w14:paraId="48D31C77" w14:textId="469D4430"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6" w:history="1">
            <w:r w:rsidR="00BF647B" w:rsidRPr="006F0458">
              <w:rPr>
                <w:rStyle w:val="Hyperlink"/>
                <w:noProof/>
              </w:rPr>
              <w:t>Izmaiņas Manipulāciju sarakstā ar 01.07.2021.</w:t>
            </w:r>
            <w:r w:rsidR="00BF647B">
              <w:rPr>
                <w:noProof/>
                <w:webHidden/>
              </w:rPr>
              <w:tab/>
            </w:r>
            <w:r w:rsidR="00BF647B">
              <w:rPr>
                <w:noProof/>
                <w:webHidden/>
              </w:rPr>
              <w:fldChar w:fldCharType="begin"/>
            </w:r>
            <w:r w:rsidR="00BF647B">
              <w:rPr>
                <w:noProof/>
                <w:webHidden/>
              </w:rPr>
              <w:instrText xml:space="preserve"> PAGEREF _Toc91758596 \h </w:instrText>
            </w:r>
            <w:r w:rsidR="00BF647B">
              <w:rPr>
                <w:noProof/>
                <w:webHidden/>
              </w:rPr>
            </w:r>
            <w:r w:rsidR="00BF647B">
              <w:rPr>
                <w:noProof/>
                <w:webHidden/>
              </w:rPr>
              <w:fldChar w:fldCharType="separate"/>
            </w:r>
            <w:r w:rsidR="00BF647B">
              <w:rPr>
                <w:noProof/>
                <w:webHidden/>
              </w:rPr>
              <w:t>112</w:t>
            </w:r>
            <w:r w:rsidR="00BF647B">
              <w:rPr>
                <w:noProof/>
                <w:webHidden/>
              </w:rPr>
              <w:fldChar w:fldCharType="end"/>
            </w:r>
          </w:hyperlink>
        </w:p>
        <w:p w14:paraId="65F7CDBB" w14:textId="45468E08"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7" w:history="1">
            <w:r w:rsidR="00BF647B" w:rsidRPr="006F0458">
              <w:rPr>
                <w:rStyle w:val="Hyperlink"/>
                <w:noProof/>
              </w:rPr>
              <w:t>Izmaiņas Manipulāciju sarakstā ar 01.06.2021.</w:t>
            </w:r>
            <w:r w:rsidR="00BF647B">
              <w:rPr>
                <w:noProof/>
                <w:webHidden/>
              </w:rPr>
              <w:tab/>
            </w:r>
            <w:r w:rsidR="00BF647B">
              <w:rPr>
                <w:noProof/>
                <w:webHidden/>
              </w:rPr>
              <w:fldChar w:fldCharType="begin"/>
            </w:r>
            <w:r w:rsidR="00BF647B">
              <w:rPr>
                <w:noProof/>
                <w:webHidden/>
              </w:rPr>
              <w:instrText xml:space="preserve"> PAGEREF _Toc91758597 \h </w:instrText>
            </w:r>
            <w:r w:rsidR="00BF647B">
              <w:rPr>
                <w:noProof/>
                <w:webHidden/>
              </w:rPr>
            </w:r>
            <w:r w:rsidR="00BF647B">
              <w:rPr>
                <w:noProof/>
                <w:webHidden/>
              </w:rPr>
              <w:fldChar w:fldCharType="separate"/>
            </w:r>
            <w:r w:rsidR="00BF647B">
              <w:rPr>
                <w:noProof/>
                <w:webHidden/>
              </w:rPr>
              <w:t>217</w:t>
            </w:r>
            <w:r w:rsidR="00BF647B">
              <w:rPr>
                <w:noProof/>
                <w:webHidden/>
              </w:rPr>
              <w:fldChar w:fldCharType="end"/>
            </w:r>
          </w:hyperlink>
        </w:p>
        <w:p w14:paraId="6E9C6A3A" w14:textId="1E4711BC"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8" w:history="1">
            <w:r w:rsidR="00BF647B" w:rsidRPr="006F0458">
              <w:rPr>
                <w:rStyle w:val="Hyperlink"/>
                <w:noProof/>
              </w:rPr>
              <w:t>Izmaiņas Manipulāciju sarakstā ar 01.05.2021.</w:t>
            </w:r>
            <w:r w:rsidR="00BF647B">
              <w:rPr>
                <w:noProof/>
                <w:webHidden/>
              </w:rPr>
              <w:tab/>
            </w:r>
            <w:r w:rsidR="00BF647B">
              <w:rPr>
                <w:noProof/>
                <w:webHidden/>
              </w:rPr>
              <w:fldChar w:fldCharType="begin"/>
            </w:r>
            <w:r w:rsidR="00BF647B">
              <w:rPr>
                <w:noProof/>
                <w:webHidden/>
              </w:rPr>
              <w:instrText xml:space="preserve"> PAGEREF _Toc91758598 \h </w:instrText>
            </w:r>
            <w:r w:rsidR="00BF647B">
              <w:rPr>
                <w:noProof/>
                <w:webHidden/>
              </w:rPr>
            </w:r>
            <w:r w:rsidR="00BF647B">
              <w:rPr>
                <w:noProof/>
                <w:webHidden/>
              </w:rPr>
              <w:fldChar w:fldCharType="separate"/>
            </w:r>
            <w:r w:rsidR="00BF647B">
              <w:rPr>
                <w:noProof/>
                <w:webHidden/>
              </w:rPr>
              <w:t>222</w:t>
            </w:r>
            <w:r w:rsidR="00BF647B">
              <w:rPr>
                <w:noProof/>
                <w:webHidden/>
              </w:rPr>
              <w:fldChar w:fldCharType="end"/>
            </w:r>
          </w:hyperlink>
        </w:p>
        <w:p w14:paraId="01A43779" w14:textId="6B29FABE"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599" w:history="1">
            <w:r w:rsidR="00BF647B" w:rsidRPr="006F0458">
              <w:rPr>
                <w:rStyle w:val="Hyperlink"/>
                <w:noProof/>
              </w:rPr>
              <w:t>Izmaiņas Manipulāciju sarakstā ar 22.02.2021.</w:t>
            </w:r>
            <w:r w:rsidR="00BF647B">
              <w:rPr>
                <w:noProof/>
                <w:webHidden/>
              </w:rPr>
              <w:tab/>
            </w:r>
            <w:r w:rsidR="00BF647B">
              <w:rPr>
                <w:noProof/>
                <w:webHidden/>
              </w:rPr>
              <w:fldChar w:fldCharType="begin"/>
            </w:r>
            <w:r w:rsidR="00BF647B">
              <w:rPr>
                <w:noProof/>
                <w:webHidden/>
              </w:rPr>
              <w:instrText xml:space="preserve"> PAGEREF _Toc91758599 \h </w:instrText>
            </w:r>
            <w:r w:rsidR="00BF647B">
              <w:rPr>
                <w:noProof/>
                <w:webHidden/>
              </w:rPr>
            </w:r>
            <w:r w:rsidR="00BF647B">
              <w:rPr>
                <w:noProof/>
                <w:webHidden/>
              </w:rPr>
              <w:fldChar w:fldCharType="separate"/>
            </w:r>
            <w:r w:rsidR="00BF647B">
              <w:rPr>
                <w:noProof/>
                <w:webHidden/>
              </w:rPr>
              <w:t>227</w:t>
            </w:r>
            <w:r w:rsidR="00BF647B">
              <w:rPr>
                <w:noProof/>
                <w:webHidden/>
              </w:rPr>
              <w:fldChar w:fldCharType="end"/>
            </w:r>
          </w:hyperlink>
        </w:p>
        <w:p w14:paraId="13F0CEF0" w14:textId="67AEF5A3"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0" w:history="1">
            <w:r w:rsidR="00BF647B" w:rsidRPr="006F0458">
              <w:rPr>
                <w:rStyle w:val="Hyperlink"/>
                <w:noProof/>
              </w:rPr>
              <w:t>Izmaiņas Manipulāciju sarakstā no 19.04.2021.</w:t>
            </w:r>
            <w:r w:rsidR="00BF647B">
              <w:rPr>
                <w:noProof/>
                <w:webHidden/>
              </w:rPr>
              <w:tab/>
            </w:r>
            <w:r w:rsidR="00BF647B">
              <w:rPr>
                <w:noProof/>
                <w:webHidden/>
              </w:rPr>
              <w:fldChar w:fldCharType="begin"/>
            </w:r>
            <w:r w:rsidR="00BF647B">
              <w:rPr>
                <w:noProof/>
                <w:webHidden/>
              </w:rPr>
              <w:instrText xml:space="preserve"> PAGEREF _Toc91758600 \h </w:instrText>
            </w:r>
            <w:r w:rsidR="00BF647B">
              <w:rPr>
                <w:noProof/>
                <w:webHidden/>
              </w:rPr>
            </w:r>
            <w:r w:rsidR="00BF647B">
              <w:rPr>
                <w:noProof/>
                <w:webHidden/>
              </w:rPr>
              <w:fldChar w:fldCharType="separate"/>
            </w:r>
            <w:r w:rsidR="00BF647B">
              <w:rPr>
                <w:noProof/>
                <w:webHidden/>
              </w:rPr>
              <w:t>230</w:t>
            </w:r>
            <w:r w:rsidR="00BF647B">
              <w:rPr>
                <w:noProof/>
                <w:webHidden/>
              </w:rPr>
              <w:fldChar w:fldCharType="end"/>
            </w:r>
          </w:hyperlink>
        </w:p>
        <w:p w14:paraId="183F8696" w14:textId="5309ABF2"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1" w:history="1">
            <w:r w:rsidR="00BF647B" w:rsidRPr="006F0458">
              <w:rPr>
                <w:rStyle w:val="Hyperlink"/>
                <w:noProof/>
              </w:rPr>
              <w:t>Izmaiņas Manipulāciju sarakstā no 01.04.2021.</w:t>
            </w:r>
            <w:r w:rsidR="00BF647B">
              <w:rPr>
                <w:noProof/>
                <w:webHidden/>
              </w:rPr>
              <w:tab/>
            </w:r>
            <w:r w:rsidR="00BF647B">
              <w:rPr>
                <w:noProof/>
                <w:webHidden/>
              </w:rPr>
              <w:fldChar w:fldCharType="begin"/>
            </w:r>
            <w:r w:rsidR="00BF647B">
              <w:rPr>
                <w:noProof/>
                <w:webHidden/>
              </w:rPr>
              <w:instrText xml:space="preserve"> PAGEREF _Toc91758601 \h </w:instrText>
            </w:r>
            <w:r w:rsidR="00BF647B">
              <w:rPr>
                <w:noProof/>
                <w:webHidden/>
              </w:rPr>
            </w:r>
            <w:r w:rsidR="00BF647B">
              <w:rPr>
                <w:noProof/>
                <w:webHidden/>
              </w:rPr>
              <w:fldChar w:fldCharType="separate"/>
            </w:r>
            <w:r w:rsidR="00BF647B">
              <w:rPr>
                <w:noProof/>
                <w:webHidden/>
              </w:rPr>
              <w:t>232</w:t>
            </w:r>
            <w:r w:rsidR="00BF647B">
              <w:rPr>
                <w:noProof/>
                <w:webHidden/>
              </w:rPr>
              <w:fldChar w:fldCharType="end"/>
            </w:r>
          </w:hyperlink>
        </w:p>
        <w:p w14:paraId="581AECB7" w14:textId="3DB78FC2"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2" w:history="1">
            <w:r w:rsidR="00BF647B" w:rsidRPr="006F0458">
              <w:rPr>
                <w:rStyle w:val="Hyperlink"/>
                <w:noProof/>
              </w:rPr>
              <w:t>Izmaiņas Manipulāciju sarakstā no 01.01.2021.</w:t>
            </w:r>
            <w:r w:rsidR="00BF647B">
              <w:rPr>
                <w:noProof/>
                <w:webHidden/>
              </w:rPr>
              <w:tab/>
            </w:r>
            <w:r w:rsidR="00BF647B">
              <w:rPr>
                <w:noProof/>
                <w:webHidden/>
              </w:rPr>
              <w:fldChar w:fldCharType="begin"/>
            </w:r>
            <w:r w:rsidR="00BF647B">
              <w:rPr>
                <w:noProof/>
                <w:webHidden/>
              </w:rPr>
              <w:instrText xml:space="preserve"> PAGEREF _Toc91758602 \h </w:instrText>
            </w:r>
            <w:r w:rsidR="00BF647B">
              <w:rPr>
                <w:noProof/>
                <w:webHidden/>
              </w:rPr>
            </w:r>
            <w:r w:rsidR="00BF647B">
              <w:rPr>
                <w:noProof/>
                <w:webHidden/>
              </w:rPr>
              <w:fldChar w:fldCharType="separate"/>
            </w:r>
            <w:r w:rsidR="00BF647B">
              <w:rPr>
                <w:noProof/>
                <w:webHidden/>
              </w:rPr>
              <w:t>284</w:t>
            </w:r>
            <w:r w:rsidR="00BF647B">
              <w:rPr>
                <w:noProof/>
                <w:webHidden/>
              </w:rPr>
              <w:fldChar w:fldCharType="end"/>
            </w:r>
          </w:hyperlink>
        </w:p>
        <w:p w14:paraId="1BF7FDDD" w14:textId="20E71230"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3" w:history="1">
            <w:r w:rsidR="00BF647B" w:rsidRPr="006F0458">
              <w:rPr>
                <w:rStyle w:val="Hyperlink"/>
                <w:noProof/>
              </w:rPr>
              <w:t>Izmaiņas Manipulāciju sarakstā no 01.10.2020</w:t>
            </w:r>
            <w:r w:rsidR="00BF647B">
              <w:rPr>
                <w:noProof/>
                <w:webHidden/>
              </w:rPr>
              <w:tab/>
            </w:r>
            <w:r w:rsidR="00BF647B">
              <w:rPr>
                <w:noProof/>
                <w:webHidden/>
              </w:rPr>
              <w:fldChar w:fldCharType="begin"/>
            </w:r>
            <w:r w:rsidR="00BF647B">
              <w:rPr>
                <w:noProof/>
                <w:webHidden/>
              </w:rPr>
              <w:instrText xml:space="preserve"> PAGEREF _Toc91758603 \h </w:instrText>
            </w:r>
            <w:r w:rsidR="00BF647B">
              <w:rPr>
                <w:noProof/>
                <w:webHidden/>
              </w:rPr>
            </w:r>
            <w:r w:rsidR="00BF647B">
              <w:rPr>
                <w:noProof/>
                <w:webHidden/>
              </w:rPr>
              <w:fldChar w:fldCharType="separate"/>
            </w:r>
            <w:r w:rsidR="00BF647B">
              <w:rPr>
                <w:noProof/>
                <w:webHidden/>
              </w:rPr>
              <w:t>356</w:t>
            </w:r>
            <w:r w:rsidR="00BF647B">
              <w:rPr>
                <w:noProof/>
                <w:webHidden/>
              </w:rPr>
              <w:fldChar w:fldCharType="end"/>
            </w:r>
          </w:hyperlink>
        </w:p>
        <w:p w14:paraId="13D2CD1F" w14:textId="32B416AC"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4" w:history="1">
            <w:r w:rsidR="00BF647B" w:rsidRPr="006F0458">
              <w:rPr>
                <w:rStyle w:val="Hyperlink"/>
                <w:noProof/>
              </w:rPr>
              <w:t>Izmaiņas Manipulāciju sarakstā no 01.07.2020</w:t>
            </w:r>
            <w:r w:rsidR="00BF647B">
              <w:rPr>
                <w:noProof/>
                <w:webHidden/>
              </w:rPr>
              <w:tab/>
            </w:r>
            <w:r w:rsidR="00BF647B">
              <w:rPr>
                <w:noProof/>
                <w:webHidden/>
              </w:rPr>
              <w:fldChar w:fldCharType="begin"/>
            </w:r>
            <w:r w:rsidR="00BF647B">
              <w:rPr>
                <w:noProof/>
                <w:webHidden/>
              </w:rPr>
              <w:instrText xml:space="preserve"> PAGEREF _Toc91758604 \h </w:instrText>
            </w:r>
            <w:r w:rsidR="00BF647B">
              <w:rPr>
                <w:noProof/>
                <w:webHidden/>
              </w:rPr>
            </w:r>
            <w:r w:rsidR="00BF647B">
              <w:rPr>
                <w:noProof/>
                <w:webHidden/>
              </w:rPr>
              <w:fldChar w:fldCharType="separate"/>
            </w:r>
            <w:r w:rsidR="00BF647B">
              <w:rPr>
                <w:noProof/>
                <w:webHidden/>
              </w:rPr>
              <w:t>389</w:t>
            </w:r>
            <w:r w:rsidR="00BF647B">
              <w:rPr>
                <w:noProof/>
                <w:webHidden/>
              </w:rPr>
              <w:fldChar w:fldCharType="end"/>
            </w:r>
          </w:hyperlink>
        </w:p>
        <w:p w14:paraId="1913DCD4" w14:textId="58F6D392"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5" w:history="1">
            <w:r w:rsidR="00BF647B" w:rsidRPr="006F0458">
              <w:rPr>
                <w:rStyle w:val="Hyperlink"/>
                <w:noProof/>
              </w:rPr>
              <w:t>Izmaiņas Manipulāciju sarakstā no 01.04.2020</w:t>
            </w:r>
            <w:r w:rsidR="00BF647B">
              <w:rPr>
                <w:noProof/>
                <w:webHidden/>
              </w:rPr>
              <w:tab/>
            </w:r>
            <w:r w:rsidR="00BF647B">
              <w:rPr>
                <w:noProof/>
                <w:webHidden/>
              </w:rPr>
              <w:fldChar w:fldCharType="begin"/>
            </w:r>
            <w:r w:rsidR="00BF647B">
              <w:rPr>
                <w:noProof/>
                <w:webHidden/>
              </w:rPr>
              <w:instrText xml:space="preserve"> PAGEREF _Toc91758605 \h </w:instrText>
            </w:r>
            <w:r w:rsidR="00BF647B">
              <w:rPr>
                <w:noProof/>
                <w:webHidden/>
              </w:rPr>
            </w:r>
            <w:r w:rsidR="00BF647B">
              <w:rPr>
                <w:noProof/>
                <w:webHidden/>
              </w:rPr>
              <w:fldChar w:fldCharType="separate"/>
            </w:r>
            <w:r w:rsidR="00BF647B">
              <w:rPr>
                <w:noProof/>
                <w:webHidden/>
              </w:rPr>
              <w:t>409</w:t>
            </w:r>
            <w:r w:rsidR="00BF647B">
              <w:rPr>
                <w:noProof/>
                <w:webHidden/>
              </w:rPr>
              <w:fldChar w:fldCharType="end"/>
            </w:r>
          </w:hyperlink>
        </w:p>
        <w:p w14:paraId="2A0B7E32" w14:textId="7A82C3DB"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6" w:history="1">
            <w:r w:rsidR="00BF647B" w:rsidRPr="006F0458">
              <w:rPr>
                <w:rStyle w:val="Hyperlink"/>
                <w:noProof/>
              </w:rPr>
              <w:t>Izmaiņas Manipulāciju sarakstā no 01.01.2020.</w:t>
            </w:r>
            <w:r w:rsidR="00BF647B">
              <w:rPr>
                <w:noProof/>
                <w:webHidden/>
              </w:rPr>
              <w:tab/>
            </w:r>
            <w:r w:rsidR="00BF647B">
              <w:rPr>
                <w:noProof/>
                <w:webHidden/>
              </w:rPr>
              <w:fldChar w:fldCharType="begin"/>
            </w:r>
            <w:r w:rsidR="00BF647B">
              <w:rPr>
                <w:noProof/>
                <w:webHidden/>
              </w:rPr>
              <w:instrText xml:space="preserve"> PAGEREF _Toc91758606 \h </w:instrText>
            </w:r>
            <w:r w:rsidR="00BF647B">
              <w:rPr>
                <w:noProof/>
                <w:webHidden/>
              </w:rPr>
            </w:r>
            <w:r w:rsidR="00BF647B">
              <w:rPr>
                <w:noProof/>
                <w:webHidden/>
              </w:rPr>
              <w:fldChar w:fldCharType="separate"/>
            </w:r>
            <w:r w:rsidR="00BF647B">
              <w:rPr>
                <w:noProof/>
                <w:webHidden/>
              </w:rPr>
              <w:t>421</w:t>
            </w:r>
            <w:r w:rsidR="00BF647B">
              <w:rPr>
                <w:noProof/>
                <w:webHidden/>
              </w:rPr>
              <w:fldChar w:fldCharType="end"/>
            </w:r>
          </w:hyperlink>
        </w:p>
        <w:p w14:paraId="15F4FB17" w14:textId="3281C66A"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7" w:history="1">
            <w:r w:rsidR="00BF647B" w:rsidRPr="006F0458">
              <w:rPr>
                <w:rStyle w:val="Hyperlink"/>
                <w:noProof/>
              </w:rPr>
              <w:t>Izmaiņas Manipulāciju sarakstā no 01.10.2019</w:t>
            </w:r>
            <w:r w:rsidR="00BF647B">
              <w:rPr>
                <w:noProof/>
                <w:webHidden/>
              </w:rPr>
              <w:tab/>
            </w:r>
            <w:r w:rsidR="00BF647B">
              <w:rPr>
                <w:noProof/>
                <w:webHidden/>
              </w:rPr>
              <w:fldChar w:fldCharType="begin"/>
            </w:r>
            <w:r w:rsidR="00BF647B">
              <w:rPr>
                <w:noProof/>
                <w:webHidden/>
              </w:rPr>
              <w:instrText xml:space="preserve"> PAGEREF _Toc91758607 \h </w:instrText>
            </w:r>
            <w:r w:rsidR="00BF647B">
              <w:rPr>
                <w:noProof/>
                <w:webHidden/>
              </w:rPr>
            </w:r>
            <w:r w:rsidR="00BF647B">
              <w:rPr>
                <w:noProof/>
                <w:webHidden/>
              </w:rPr>
              <w:fldChar w:fldCharType="separate"/>
            </w:r>
            <w:r w:rsidR="00BF647B">
              <w:rPr>
                <w:noProof/>
                <w:webHidden/>
              </w:rPr>
              <w:t>437</w:t>
            </w:r>
            <w:r w:rsidR="00BF647B">
              <w:rPr>
                <w:noProof/>
                <w:webHidden/>
              </w:rPr>
              <w:fldChar w:fldCharType="end"/>
            </w:r>
          </w:hyperlink>
        </w:p>
        <w:p w14:paraId="72515A4C" w14:textId="0A4F03BE"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8" w:history="1">
            <w:r w:rsidR="00BF647B" w:rsidRPr="006F0458">
              <w:rPr>
                <w:rStyle w:val="Hyperlink"/>
                <w:noProof/>
              </w:rPr>
              <w:t>Izmaiņas Manipulāciju sarakstā no 12.08.2019</w:t>
            </w:r>
            <w:r w:rsidR="00BF647B">
              <w:rPr>
                <w:noProof/>
                <w:webHidden/>
              </w:rPr>
              <w:tab/>
            </w:r>
            <w:r w:rsidR="00BF647B">
              <w:rPr>
                <w:noProof/>
                <w:webHidden/>
              </w:rPr>
              <w:fldChar w:fldCharType="begin"/>
            </w:r>
            <w:r w:rsidR="00BF647B">
              <w:rPr>
                <w:noProof/>
                <w:webHidden/>
              </w:rPr>
              <w:instrText xml:space="preserve"> PAGEREF _Toc91758608 \h </w:instrText>
            </w:r>
            <w:r w:rsidR="00BF647B">
              <w:rPr>
                <w:noProof/>
                <w:webHidden/>
              </w:rPr>
            </w:r>
            <w:r w:rsidR="00BF647B">
              <w:rPr>
                <w:noProof/>
                <w:webHidden/>
              </w:rPr>
              <w:fldChar w:fldCharType="separate"/>
            </w:r>
            <w:r w:rsidR="00BF647B">
              <w:rPr>
                <w:noProof/>
                <w:webHidden/>
              </w:rPr>
              <w:t>443</w:t>
            </w:r>
            <w:r w:rsidR="00BF647B">
              <w:rPr>
                <w:noProof/>
                <w:webHidden/>
              </w:rPr>
              <w:fldChar w:fldCharType="end"/>
            </w:r>
          </w:hyperlink>
        </w:p>
        <w:p w14:paraId="3602179C" w14:textId="69E653A4"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09" w:history="1">
            <w:r w:rsidR="00BF647B" w:rsidRPr="006F0458">
              <w:rPr>
                <w:rStyle w:val="Hyperlink"/>
                <w:noProof/>
              </w:rPr>
              <w:t>Izmaiņas Manipulāciju sarakstā no 12.04.2019</w:t>
            </w:r>
            <w:r w:rsidR="00BF647B">
              <w:rPr>
                <w:noProof/>
                <w:webHidden/>
              </w:rPr>
              <w:tab/>
            </w:r>
            <w:r w:rsidR="00BF647B">
              <w:rPr>
                <w:noProof/>
                <w:webHidden/>
              </w:rPr>
              <w:fldChar w:fldCharType="begin"/>
            </w:r>
            <w:r w:rsidR="00BF647B">
              <w:rPr>
                <w:noProof/>
                <w:webHidden/>
              </w:rPr>
              <w:instrText xml:space="preserve"> PAGEREF _Toc91758609 \h </w:instrText>
            </w:r>
            <w:r w:rsidR="00BF647B">
              <w:rPr>
                <w:noProof/>
                <w:webHidden/>
              </w:rPr>
            </w:r>
            <w:r w:rsidR="00BF647B">
              <w:rPr>
                <w:noProof/>
                <w:webHidden/>
              </w:rPr>
              <w:fldChar w:fldCharType="separate"/>
            </w:r>
            <w:r w:rsidR="00BF647B">
              <w:rPr>
                <w:noProof/>
                <w:webHidden/>
              </w:rPr>
              <w:t>448</w:t>
            </w:r>
            <w:r w:rsidR="00BF647B">
              <w:rPr>
                <w:noProof/>
                <w:webHidden/>
              </w:rPr>
              <w:fldChar w:fldCharType="end"/>
            </w:r>
          </w:hyperlink>
        </w:p>
        <w:p w14:paraId="09509B36" w14:textId="42E4F4FB"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10" w:history="1">
            <w:r w:rsidR="00BF647B" w:rsidRPr="006F0458">
              <w:rPr>
                <w:rStyle w:val="Hyperlink"/>
                <w:noProof/>
              </w:rPr>
              <w:t>Izmaiņas Manipulāciju sarakstā no 01.04.2019</w:t>
            </w:r>
            <w:r w:rsidR="00BF647B">
              <w:rPr>
                <w:noProof/>
                <w:webHidden/>
              </w:rPr>
              <w:tab/>
            </w:r>
            <w:r w:rsidR="00BF647B">
              <w:rPr>
                <w:noProof/>
                <w:webHidden/>
              </w:rPr>
              <w:fldChar w:fldCharType="begin"/>
            </w:r>
            <w:r w:rsidR="00BF647B">
              <w:rPr>
                <w:noProof/>
                <w:webHidden/>
              </w:rPr>
              <w:instrText xml:space="preserve"> PAGEREF _Toc91758610 \h </w:instrText>
            </w:r>
            <w:r w:rsidR="00BF647B">
              <w:rPr>
                <w:noProof/>
                <w:webHidden/>
              </w:rPr>
            </w:r>
            <w:r w:rsidR="00BF647B">
              <w:rPr>
                <w:noProof/>
                <w:webHidden/>
              </w:rPr>
              <w:fldChar w:fldCharType="separate"/>
            </w:r>
            <w:r w:rsidR="00BF647B">
              <w:rPr>
                <w:noProof/>
                <w:webHidden/>
              </w:rPr>
              <w:t>449</w:t>
            </w:r>
            <w:r w:rsidR="00BF647B">
              <w:rPr>
                <w:noProof/>
                <w:webHidden/>
              </w:rPr>
              <w:fldChar w:fldCharType="end"/>
            </w:r>
          </w:hyperlink>
        </w:p>
        <w:p w14:paraId="745F0A6E" w14:textId="206F659F"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11" w:history="1">
            <w:r w:rsidR="00BF647B" w:rsidRPr="006F0458">
              <w:rPr>
                <w:rStyle w:val="Hyperlink"/>
                <w:noProof/>
              </w:rPr>
              <w:t>Izmaiņas Manipulāciju sarakstā no 11.02.2019</w:t>
            </w:r>
            <w:r w:rsidR="00BF647B">
              <w:rPr>
                <w:noProof/>
                <w:webHidden/>
              </w:rPr>
              <w:tab/>
            </w:r>
            <w:r w:rsidR="00BF647B">
              <w:rPr>
                <w:noProof/>
                <w:webHidden/>
              </w:rPr>
              <w:fldChar w:fldCharType="begin"/>
            </w:r>
            <w:r w:rsidR="00BF647B">
              <w:rPr>
                <w:noProof/>
                <w:webHidden/>
              </w:rPr>
              <w:instrText xml:space="preserve"> PAGEREF _Toc91758611 \h </w:instrText>
            </w:r>
            <w:r w:rsidR="00BF647B">
              <w:rPr>
                <w:noProof/>
                <w:webHidden/>
              </w:rPr>
            </w:r>
            <w:r w:rsidR="00BF647B">
              <w:rPr>
                <w:noProof/>
                <w:webHidden/>
              </w:rPr>
              <w:fldChar w:fldCharType="separate"/>
            </w:r>
            <w:r w:rsidR="00BF647B">
              <w:rPr>
                <w:noProof/>
                <w:webHidden/>
              </w:rPr>
              <w:t>460</w:t>
            </w:r>
            <w:r w:rsidR="00BF647B">
              <w:rPr>
                <w:noProof/>
                <w:webHidden/>
              </w:rPr>
              <w:fldChar w:fldCharType="end"/>
            </w:r>
          </w:hyperlink>
        </w:p>
        <w:p w14:paraId="7D20176B" w14:textId="13F45A9C"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12" w:history="1">
            <w:r w:rsidR="00BF647B" w:rsidRPr="006F0458">
              <w:rPr>
                <w:rStyle w:val="Hyperlink"/>
                <w:noProof/>
              </w:rPr>
              <w:t>Izmaiņas Manipulāciju sarakstā no 01.01.2019</w:t>
            </w:r>
            <w:r w:rsidR="00BF647B">
              <w:rPr>
                <w:noProof/>
                <w:webHidden/>
              </w:rPr>
              <w:tab/>
            </w:r>
            <w:r w:rsidR="00BF647B">
              <w:rPr>
                <w:noProof/>
                <w:webHidden/>
              </w:rPr>
              <w:fldChar w:fldCharType="begin"/>
            </w:r>
            <w:r w:rsidR="00BF647B">
              <w:rPr>
                <w:noProof/>
                <w:webHidden/>
              </w:rPr>
              <w:instrText xml:space="preserve"> PAGEREF _Toc91758612 \h </w:instrText>
            </w:r>
            <w:r w:rsidR="00BF647B">
              <w:rPr>
                <w:noProof/>
                <w:webHidden/>
              </w:rPr>
            </w:r>
            <w:r w:rsidR="00BF647B">
              <w:rPr>
                <w:noProof/>
                <w:webHidden/>
              </w:rPr>
              <w:fldChar w:fldCharType="separate"/>
            </w:r>
            <w:r w:rsidR="00BF647B">
              <w:rPr>
                <w:noProof/>
                <w:webHidden/>
              </w:rPr>
              <w:t>461</w:t>
            </w:r>
            <w:r w:rsidR="00BF647B">
              <w:rPr>
                <w:noProof/>
                <w:webHidden/>
              </w:rPr>
              <w:fldChar w:fldCharType="end"/>
            </w:r>
          </w:hyperlink>
        </w:p>
        <w:p w14:paraId="532F4EA5" w14:textId="64524686"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13" w:history="1">
            <w:r w:rsidR="00BF647B" w:rsidRPr="006F0458">
              <w:rPr>
                <w:rStyle w:val="Hyperlink"/>
                <w:noProof/>
              </w:rPr>
              <w:t>Izmaiņas Manipulāciju sarakstā no 23.10.2018</w:t>
            </w:r>
            <w:r w:rsidR="00BF647B">
              <w:rPr>
                <w:noProof/>
                <w:webHidden/>
              </w:rPr>
              <w:tab/>
            </w:r>
            <w:r w:rsidR="00BF647B">
              <w:rPr>
                <w:noProof/>
                <w:webHidden/>
              </w:rPr>
              <w:fldChar w:fldCharType="begin"/>
            </w:r>
            <w:r w:rsidR="00BF647B">
              <w:rPr>
                <w:noProof/>
                <w:webHidden/>
              </w:rPr>
              <w:instrText xml:space="preserve"> PAGEREF _Toc91758613 \h </w:instrText>
            </w:r>
            <w:r w:rsidR="00BF647B">
              <w:rPr>
                <w:noProof/>
                <w:webHidden/>
              </w:rPr>
            </w:r>
            <w:r w:rsidR="00BF647B">
              <w:rPr>
                <w:noProof/>
                <w:webHidden/>
              </w:rPr>
              <w:fldChar w:fldCharType="separate"/>
            </w:r>
            <w:r w:rsidR="00BF647B">
              <w:rPr>
                <w:noProof/>
                <w:webHidden/>
              </w:rPr>
              <w:t>467</w:t>
            </w:r>
            <w:r w:rsidR="00BF647B">
              <w:rPr>
                <w:noProof/>
                <w:webHidden/>
              </w:rPr>
              <w:fldChar w:fldCharType="end"/>
            </w:r>
          </w:hyperlink>
        </w:p>
        <w:p w14:paraId="58E8E3A3" w14:textId="4CA2A948" w:rsidR="00BF647B" w:rsidRDefault="00974D40">
          <w:pPr>
            <w:pStyle w:val="TOC1"/>
            <w:tabs>
              <w:tab w:val="right" w:leader="dot" w:pos="15390"/>
            </w:tabs>
            <w:rPr>
              <w:rFonts w:asciiTheme="minorHAnsi" w:eastAsiaTheme="minorEastAsia" w:hAnsiTheme="minorHAnsi" w:cstheme="minorBidi"/>
              <w:noProof/>
              <w:sz w:val="22"/>
              <w:szCs w:val="22"/>
              <w:lang w:eastAsia="lv-LV"/>
            </w:rPr>
          </w:pPr>
          <w:hyperlink w:anchor="_Toc91758614" w:history="1">
            <w:r w:rsidR="00BF647B" w:rsidRPr="006F0458">
              <w:rPr>
                <w:rStyle w:val="Hyperlink"/>
                <w:noProof/>
              </w:rPr>
              <w:t>Izmaiņas Manipulāciju sarakstā no 01.09.2018</w:t>
            </w:r>
            <w:r w:rsidR="00BF647B">
              <w:rPr>
                <w:noProof/>
                <w:webHidden/>
              </w:rPr>
              <w:tab/>
            </w:r>
            <w:r w:rsidR="00BF647B">
              <w:rPr>
                <w:noProof/>
                <w:webHidden/>
              </w:rPr>
              <w:fldChar w:fldCharType="begin"/>
            </w:r>
            <w:r w:rsidR="00BF647B">
              <w:rPr>
                <w:noProof/>
                <w:webHidden/>
              </w:rPr>
              <w:instrText xml:space="preserve"> PAGEREF _Toc91758614 \h </w:instrText>
            </w:r>
            <w:r w:rsidR="00BF647B">
              <w:rPr>
                <w:noProof/>
                <w:webHidden/>
              </w:rPr>
            </w:r>
            <w:r w:rsidR="00BF647B">
              <w:rPr>
                <w:noProof/>
                <w:webHidden/>
              </w:rPr>
              <w:fldChar w:fldCharType="separate"/>
            </w:r>
            <w:r w:rsidR="00BF647B">
              <w:rPr>
                <w:noProof/>
                <w:webHidden/>
              </w:rPr>
              <w:t>471</w:t>
            </w:r>
            <w:r w:rsidR="00BF647B">
              <w:rPr>
                <w:noProof/>
                <w:webHidden/>
              </w:rPr>
              <w:fldChar w:fldCharType="end"/>
            </w:r>
          </w:hyperlink>
        </w:p>
        <w:p w14:paraId="017858D7" w14:textId="1744FB49" w:rsidR="00BF647B" w:rsidRDefault="00BF647B">
          <w:r>
            <w:rPr>
              <w:b/>
              <w:bCs/>
              <w:noProof/>
            </w:rPr>
            <w:fldChar w:fldCharType="end"/>
          </w:r>
        </w:p>
      </w:sdtContent>
    </w:sdt>
    <w:p w14:paraId="20F00232" w14:textId="318CA38A" w:rsidR="000A671C" w:rsidRDefault="000A671C"/>
    <w:p w14:paraId="3AA29E54" w14:textId="6DDE4572" w:rsidR="009B300C" w:rsidRPr="009B300C" w:rsidRDefault="000A671C" w:rsidP="009B300C">
      <w:r>
        <w:br w:type="page"/>
      </w:r>
    </w:p>
    <w:p w14:paraId="4C5B83D8" w14:textId="77777777" w:rsidR="009B300C" w:rsidRDefault="009B300C" w:rsidP="009B300C">
      <w:pPr>
        <w:pStyle w:val="Heading1"/>
        <w:ind w:left="0"/>
        <w:rPr>
          <w:sz w:val="24"/>
          <w:szCs w:val="24"/>
        </w:rPr>
      </w:pPr>
    </w:p>
    <w:p w14:paraId="6DDDC44A" w14:textId="77777777" w:rsidR="009B300C" w:rsidRPr="00806160" w:rsidRDefault="009B300C" w:rsidP="009B300C">
      <w:pPr>
        <w:pStyle w:val="Heading1"/>
        <w:ind w:left="0" w:firstLine="426"/>
      </w:pPr>
      <w:bookmarkStart w:id="0" w:name="_Toc90589040"/>
      <w:bookmarkStart w:id="1" w:name="_Toc91758588"/>
      <w:r w:rsidRPr="00806160">
        <w:t>Izmaiņas Manipulāciju sarakstā no 01.01.2022.</w:t>
      </w:r>
      <w:bookmarkEnd w:id="0"/>
      <w:bookmarkEnd w:id="1"/>
    </w:p>
    <w:p w14:paraId="6FC04E61" w14:textId="77777777" w:rsidR="009B300C" w:rsidRDefault="009B300C" w:rsidP="009B300C">
      <w:pPr>
        <w:rPr>
          <w:b/>
          <w:bCs/>
          <w:sz w:val="24"/>
          <w:szCs w:val="24"/>
        </w:rPr>
      </w:pPr>
    </w:p>
    <w:p w14:paraId="3F8BD70D" w14:textId="77777777" w:rsidR="009B300C" w:rsidRPr="00F82CB9" w:rsidRDefault="009B300C" w:rsidP="009B300C">
      <w:pPr>
        <w:pStyle w:val="BodyText"/>
        <w:numPr>
          <w:ilvl w:val="0"/>
          <w:numId w:val="34"/>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B300C">
        <w:trPr>
          <w:trHeight w:val="141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Rīgā un 60km 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xml:space="preserve">) </w:t>
            </w:r>
            <w:r w:rsidRPr="006F264E">
              <w:rPr>
                <w:color w:val="000000"/>
                <w:sz w:val="20"/>
                <w:szCs w:val="20"/>
              </w:rPr>
              <w:lastRenderedPageBreak/>
              <w:t>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pacientu aprūpe ar ārstēšanās </w:t>
            </w:r>
            <w:r w:rsidRPr="006F264E">
              <w:rPr>
                <w:sz w:val="20"/>
                <w:szCs w:val="20"/>
              </w:rPr>
              <w:lastRenderedPageBreak/>
              <w:t xml:space="preserve">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77777777" w:rsidR="009B300C" w:rsidRPr="006F264E" w:rsidRDefault="009B300C" w:rsidP="00F52157">
            <w:pPr>
              <w:jc w:val="center"/>
              <w:rPr>
                <w:sz w:val="20"/>
                <w:szCs w:val="20"/>
              </w:rPr>
            </w:pPr>
            <w:r w:rsidRPr="006F264E">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w:t>
            </w:r>
            <w:r w:rsidRPr="006F264E">
              <w:rPr>
                <w:color w:val="000000"/>
                <w:sz w:val="20"/>
                <w:szCs w:val="20"/>
              </w:rPr>
              <w:lastRenderedPageBreak/>
              <w:t>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w:t>
            </w:r>
            <w:r w:rsidRPr="006F264E">
              <w:rPr>
                <w:color w:val="000000"/>
                <w:sz w:val="20"/>
                <w:szCs w:val="20"/>
              </w:rPr>
              <w:lastRenderedPageBreak/>
              <w:t xml:space="preserve">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īpaši pirmās medikamenta ievades laikā, jo iespējamas dažādas pacienta dzīvību apdraudošas reakcijas. Lai izvērtētu </w:t>
            </w:r>
            <w:r w:rsidRPr="006F264E">
              <w:rPr>
                <w:color w:val="000000"/>
                <w:sz w:val="20"/>
                <w:szCs w:val="20"/>
                <w:lang w:eastAsia="lv-LV"/>
              </w:rPr>
              <w:lastRenderedPageBreak/>
              <w:t xml:space="preserve">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bl>
    <w:p w14:paraId="21D614D8" w14:textId="031B29FE" w:rsidR="009B300C" w:rsidRDefault="009B300C" w:rsidP="009B300C">
      <w:pPr>
        <w:pStyle w:val="Heading1"/>
        <w:ind w:left="0"/>
        <w:rPr>
          <w:sz w:val="20"/>
          <w:szCs w:val="20"/>
        </w:rPr>
      </w:pPr>
    </w:p>
    <w:p w14:paraId="4426A740" w14:textId="53BBF1A7" w:rsidR="009B300C" w:rsidRDefault="009B300C" w:rsidP="009B300C">
      <w:pPr>
        <w:pStyle w:val="Heading1"/>
        <w:ind w:left="0"/>
        <w:rPr>
          <w:sz w:val="20"/>
          <w:szCs w:val="20"/>
        </w:rPr>
      </w:pPr>
    </w:p>
    <w:p w14:paraId="6C326EA1" w14:textId="77777777" w:rsidR="00974D40" w:rsidRDefault="00974D40"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77777777" w:rsidR="009B300C" w:rsidRPr="00806160" w:rsidRDefault="009B300C" w:rsidP="009B300C">
      <w:pPr>
        <w:pStyle w:val="Heading1"/>
        <w:numPr>
          <w:ilvl w:val="0"/>
          <w:numId w:val="34"/>
        </w:numPr>
        <w:rPr>
          <w:sz w:val="24"/>
          <w:szCs w:val="24"/>
        </w:rPr>
      </w:pPr>
      <w:bookmarkStart w:id="2" w:name="_Toc90076659"/>
      <w:bookmarkStart w:id="3" w:name="_Toc90588265"/>
      <w:bookmarkStart w:id="4" w:name="_Toc90589041"/>
      <w:bookmarkStart w:id="5" w:name="_Toc91758589"/>
      <w:r w:rsidRPr="00806160">
        <w:rPr>
          <w:sz w:val="24"/>
          <w:szCs w:val="24"/>
        </w:rPr>
        <w:lastRenderedPageBreak/>
        <w:t>Pārrēķinātas manipulācijas</w:t>
      </w:r>
      <w:bookmarkEnd w:id="2"/>
      <w:bookmarkEnd w:id="3"/>
      <w:bookmarkEnd w:id="4"/>
      <w:bookmarkEnd w:id="5"/>
    </w:p>
    <w:p w14:paraId="38D289D7" w14:textId="77777777" w:rsidR="009B300C" w:rsidRDefault="009B300C" w:rsidP="009B300C">
      <w:pPr>
        <w:pStyle w:val="Heading1"/>
        <w:ind w:left="0"/>
        <w:rPr>
          <w:sz w:val="24"/>
          <w:szCs w:val="24"/>
        </w:rPr>
      </w:pPr>
    </w:p>
    <w:tbl>
      <w:tblPr>
        <w:tblW w:w="5158" w:type="pct"/>
        <w:tblInd w:w="-147" w:type="dxa"/>
        <w:tblLayout w:type="fixed"/>
        <w:tblLook w:val="04A0" w:firstRow="1" w:lastRow="0" w:firstColumn="1" w:lastColumn="0" w:noHBand="0" w:noVBand="1"/>
      </w:tblPr>
      <w:tblGrid>
        <w:gridCol w:w="1419"/>
        <w:gridCol w:w="851"/>
        <w:gridCol w:w="568"/>
        <w:gridCol w:w="2693"/>
        <w:gridCol w:w="848"/>
        <w:gridCol w:w="851"/>
        <w:gridCol w:w="708"/>
        <w:gridCol w:w="708"/>
        <w:gridCol w:w="851"/>
        <w:gridCol w:w="994"/>
        <w:gridCol w:w="3118"/>
        <w:gridCol w:w="2267"/>
      </w:tblGrid>
      <w:tr w:rsidR="009B300C" w:rsidRPr="006F264E" w14:paraId="1652CD74" w14:textId="77777777" w:rsidTr="009B300C">
        <w:trPr>
          <w:trHeight w:val="255"/>
          <w:tblHeader/>
        </w:trPr>
        <w:tc>
          <w:tcPr>
            <w:tcW w:w="44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14"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82"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9B300C">
        <w:trPr>
          <w:trHeight w:val="765"/>
          <w:tblHeader/>
        </w:trPr>
        <w:tc>
          <w:tcPr>
            <w:tcW w:w="44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8"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3"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8"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1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9B300C">
        <w:trPr>
          <w:trHeight w:val="396"/>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974D40">
        <w:trPr>
          <w:trHeight w:val="1868"/>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9B300C">
        <w:trPr>
          <w:trHeight w:val="1249"/>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lastRenderedPageBreak/>
              <w:t>Psihiatrija un narkoloģija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izdevīgāk, samaksājot psihologam par padarīto darbu un motivējot viņu apkalpot vairāk pacientus.</w:t>
            </w:r>
          </w:p>
        </w:tc>
      </w:tr>
      <w:tr w:rsidR="009B300C" w:rsidRPr="006F264E" w14:paraId="43AFC5C4" w14:textId="77777777" w:rsidTr="009B300C">
        <w:trPr>
          <w:trHeight w:val="995"/>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74D40">
        <w:trPr>
          <w:trHeight w:val="1857"/>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9B300C">
        <w:trPr>
          <w:trHeight w:val="1388"/>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B300C">
        <w:trPr>
          <w:trHeight w:val="1326"/>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9B300C">
        <w:trPr>
          <w:trHeight w:val="777"/>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w:t>
            </w:r>
            <w:r w:rsidRPr="006F264E">
              <w:rPr>
                <w:sz w:val="20"/>
                <w:szCs w:val="20"/>
              </w:rPr>
              <w:lastRenderedPageBreak/>
              <w:t xml:space="preserve">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9B300C">
        <w:trPr>
          <w:trHeight w:val="1391"/>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w:t>
            </w:r>
            <w:r w:rsidRPr="006F264E">
              <w:rPr>
                <w:sz w:val="20"/>
                <w:szCs w:val="20"/>
              </w:rPr>
              <w:lastRenderedPageBreak/>
              <w:t>nenorāda, ja pacientam tiek sniegta 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9B300C">
        <w:trPr>
          <w:trHeight w:val="1486"/>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ambulatorajās ārstniecības iestādēs</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60047.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9B300C">
        <w:trPr>
          <w:trHeight w:val="1107"/>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w:t>
            </w:r>
            <w:r w:rsidRPr="006F264E">
              <w:rPr>
                <w:sz w:val="20"/>
                <w:szCs w:val="20"/>
              </w:rPr>
              <w:lastRenderedPageBreak/>
              <w:t>pacientu aprūpes personām un funkcionālo speciālistu asistentiem ambulatoro veselības aprūpes pakalpojumu nodrošināšanai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 xml:space="preserve">Manipulāciju apmaksā ārstniecības iestādēm, kas nodrošina tikai ambulatoros pakalpojumus. Manipulāciju </w:t>
            </w:r>
            <w:r w:rsidRPr="006F264E">
              <w:rPr>
                <w:strike/>
                <w:sz w:val="20"/>
                <w:szCs w:val="20"/>
              </w:rPr>
              <w:lastRenderedPageBreak/>
              <w:t>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9B300C">
        <w:trPr>
          <w:trHeight w:val="182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w:t>
            </w:r>
            <w:r w:rsidRPr="006F264E">
              <w:rPr>
                <w:strike/>
                <w:sz w:val="20"/>
                <w:szCs w:val="20"/>
              </w:rPr>
              <w:lastRenderedPageBreak/>
              <w:t>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manipulācijām </w:t>
            </w:r>
            <w:r w:rsidRPr="006F264E">
              <w:rPr>
                <w:color w:val="FF0000"/>
                <w:sz w:val="20"/>
                <w:szCs w:val="20"/>
                <w:lang w:eastAsia="lv-LV"/>
              </w:rPr>
              <w:t xml:space="preserve">19161, </w:t>
            </w:r>
            <w:r w:rsidRPr="006F264E">
              <w:rPr>
                <w:sz w:val="20"/>
                <w:szCs w:val="20"/>
                <w:lang w:eastAsia="lv-LV"/>
              </w:rPr>
              <w:t xml:space="preserve">19080, </w:t>
            </w:r>
            <w:r w:rsidRPr="006F264E">
              <w:rPr>
                <w:sz w:val="20"/>
                <w:szCs w:val="20"/>
                <w:lang w:eastAsia="lv-LV"/>
              </w:rPr>
              <w:lastRenderedPageBreak/>
              <w:t xml:space="preserve">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9B300C">
        <w:trPr>
          <w:trHeight w:val="970"/>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lastRenderedPageBreak/>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lastRenderedPageBreak/>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77777777" w:rsidR="009B300C" w:rsidRDefault="009B300C" w:rsidP="009B300C">
      <w:pPr>
        <w:pStyle w:val="Heading1"/>
        <w:ind w:left="0" w:firstLine="426"/>
        <w:rPr>
          <w:sz w:val="24"/>
          <w:szCs w:val="24"/>
        </w:rPr>
      </w:pPr>
    </w:p>
    <w:p w14:paraId="173CEE43" w14:textId="77777777" w:rsidR="009B300C" w:rsidRPr="00B67BD6" w:rsidRDefault="009B300C" w:rsidP="009B300C">
      <w:pPr>
        <w:pStyle w:val="BodyText"/>
        <w:widowControl/>
        <w:numPr>
          <w:ilvl w:val="0"/>
          <w:numId w:val="34"/>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dzemdību speciālistu asociācija" tiek paplašināti pakalpojuma </w:t>
            </w:r>
            <w:r w:rsidRPr="006F264E">
              <w:rPr>
                <w:color w:val="000000"/>
                <w:sz w:val="20"/>
                <w:szCs w:val="20"/>
                <w:lang w:eastAsia="lv-LV"/>
              </w:rPr>
              <w:lastRenderedPageBreak/>
              <w:t>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 xml:space="preserve">Ņemot vērā seksuāli transmisīvo infekciju saslimstību izplatību, sadarbībā ar SIA "Bērnu klīniskā universitātes slimnīca" un biedrību "Latvijas ginekologu un dzemdību speciālistu </w:t>
            </w:r>
            <w:r w:rsidRPr="006F264E">
              <w:rPr>
                <w:color w:val="000000"/>
                <w:sz w:val="20"/>
                <w:szCs w:val="20"/>
              </w:rPr>
              <w:lastRenderedPageBreak/>
              <w:t>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w:t>
            </w:r>
            <w:r w:rsidRPr="006F264E">
              <w:rPr>
                <w:color w:val="000000"/>
                <w:sz w:val="20"/>
                <w:szCs w:val="20"/>
                <w:lang w:eastAsia="lv-LV"/>
              </w:rPr>
              <w:lastRenderedPageBreak/>
              <w:t>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 xml:space="preserve">Pie gadījuma piemaksājama manipulācija papildus tiek apmaksāta par periodu no 2022. </w:t>
            </w:r>
            <w:r w:rsidRPr="00C454FA">
              <w:rPr>
                <w:color w:val="000000"/>
                <w:sz w:val="20"/>
                <w:szCs w:val="20"/>
              </w:rPr>
              <w:lastRenderedPageBreak/>
              <w:t>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lastRenderedPageBreak/>
              <w:t xml:space="preserve">Dienests skaidro, ka ir veicis papildus 2019. gada datu atlasi un </w:t>
            </w:r>
            <w:r w:rsidRPr="00C454FA">
              <w:rPr>
                <w:color w:val="000000"/>
                <w:sz w:val="20"/>
                <w:szCs w:val="20"/>
              </w:rPr>
              <w:lastRenderedPageBreak/>
              <w:t>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 xml:space="preserve">Pie gadījuma piemaksājama manipulācija papildus tiek apmaksāta par periodu no 2022. gada 1. janvāra līdz 2022. gada 31. decembrim tikai V līmeņa un V līmeņa specializētām ārstniecības </w:t>
            </w:r>
            <w:r w:rsidRPr="00C454FA">
              <w:rPr>
                <w:color w:val="000000"/>
                <w:sz w:val="20"/>
                <w:szCs w:val="20"/>
              </w:rPr>
              <w:lastRenderedPageBreak/>
              <w:t>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lastRenderedPageBreak/>
              <w:t xml:space="preserve">Dienests skaidro, ka ir veicis papildus 2019. gada datu atlasi un konstatējis, ka augstāk minētās manipulācijas stacionārajos uzskaites </w:t>
            </w:r>
            <w:r w:rsidRPr="00C454FA">
              <w:rPr>
                <w:color w:val="000000"/>
                <w:sz w:val="20"/>
                <w:szCs w:val="20"/>
              </w:rPr>
              <w:lastRenderedPageBreak/>
              <w:t>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w:t>
            </w:r>
            <w:r w:rsidRPr="00C454FA">
              <w:rPr>
                <w:color w:val="000000"/>
                <w:sz w:val="20"/>
                <w:szCs w:val="20"/>
              </w:rPr>
              <w:lastRenderedPageBreak/>
              <w:t>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lastRenderedPageBreak/>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Kopš 2021. gada Latvijā BKUS strādā Mātes piena banka, kur donorēm nepieciešams veikt HIV, hepatītu un citus izmeklējumus, kas </w:t>
            </w:r>
            <w:r w:rsidRPr="006F264E">
              <w:rPr>
                <w:color w:val="000000"/>
                <w:sz w:val="20"/>
                <w:szCs w:val="20"/>
                <w:lang w:eastAsia="lv-LV"/>
              </w:rPr>
              <w:lastRenderedPageBreak/>
              <w:t>jau ir valsts apmaksāti. Lai atbrīvotu pacientes no maksājuma par asins paņemšanu, tiek papildināti apmaksas nosacījumi 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w:t>
            </w:r>
            <w:r w:rsidRPr="006F264E">
              <w:rPr>
                <w:sz w:val="20"/>
                <w:szCs w:val="20"/>
              </w:rPr>
              <w:lastRenderedPageBreak/>
              <w:t>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lastRenderedPageBreak/>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w:t>
            </w:r>
            <w:r w:rsidRPr="006F264E">
              <w:rPr>
                <w:sz w:val="20"/>
                <w:szCs w:val="20"/>
              </w:rPr>
              <w:lastRenderedPageBreak/>
              <w:t xml:space="preserve">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vēža gadījumā – ļaundabīgā audzēja </w:t>
            </w:r>
            <w:r w:rsidRPr="006F264E">
              <w:rPr>
                <w:strike/>
                <w:color w:val="000000"/>
                <w:sz w:val="20"/>
                <w:szCs w:val="20"/>
              </w:rPr>
              <w:lastRenderedPageBreak/>
              <w:t xml:space="preserve">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Par stacionāriem pacientiem manipulāciju apmaksā, realizējoties diviem nosacījumiem:</w:t>
            </w:r>
            <w:r w:rsidRPr="006F264E">
              <w:rPr>
                <w:strike/>
                <w:color w:val="000000"/>
                <w:sz w:val="20"/>
                <w:szCs w:val="20"/>
              </w:rPr>
              <w:br/>
              <w:t xml:space="preserve">1. pacientam noteikta jebkura </w:t>
            </w:r>
            <w:r w:rsidRPr="006F264E">
              <w:rPr>
                <w:strike/>
                <w:color w:val="000000"/>
                <w:sz w:val="20"/>
                <w:szCs w:val="20"/>
              </w:rPr>
              <w:lastRenderedPageBreak/>
              <w:t xml:space="preserve">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w:t>
            </w:r>
            <w:r w:rsidRPr="006F264E">
              <w:rPr>
                <w:color w:val="000000"/>
                <w:sz w:val="20"/>
                <w:szCs w:val="20"/>
                <w:lang w:eastAsia="lv-LV"/>
              </w:rPr>
              <w:lastRenderedPageBreak/>
              <w:t>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 xml:space="preserve">Veicot Covid-19 vakcināciju, to var norādīt  cita ārstniecības persona, ja ārstniecības iestādē ir izstrādāta vakcinācijas risku izvērtēšanas </w:t>
            </w:r>
            <w:r w:rsidRPr="006F264E">
              <w:rPr>
                <w:color w:val="000000"/>
                <w:sz w:val="20"/>
                <w:szCs w:val="20"/>
                <w:lang w:eastAsia="lv-LV"/>
              </w:rPr>
              <w:lastRenderedPageBreak/>
              <w:t>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lastRenderedPageBreak/>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 </w:t>
            </w:r>
            <w:r w:rsidRPr="006F264E">
              <w:rPr>
                <w:color w:val="000000"/>
                <w:sz w:val="20"/>
                <w:szCs w:val="20"/>
                <w:lang w:eastAsia="lv-LV"/>
              </w:rPr>
              <w:lastRenderedPageBreak/>
              <w:t>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r>
            <w:r w:rsidRPr="006F264E">
              <w:rPr>
                <w:color w:val="000000"/>
                <w:sz w:val="20"/>
                <w:szCs w:val="20"/>
                <w:lang w:eastAsia="lv-LV"/>
              </w:rPr>
              <w:lastRenderedPageBreak/>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w:t>
            </w:r>
            <w:r w:rsidRPr="006F264E">
              <w:rPr>
                <w:color w:val="000000"/>
                <w:sz w:val="20"/>
                <w:szCs w:val="20"/>
                <w:lang w:eastAsia="lv-LV"/>
              </w:rPr>
              <w:lastRenderedPageBreak/>
              <w:t>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(7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w:t>
            </w:r>
            <w:r w:rsidRPr="006F264E">
              <w:rPr>
                <w:color w:val="000000"/>
                <w:sz w:val="20"/>
                <w:szCs w:val="20"/>
                <w:lang w:eastAsia="lv-LV"/>
              </w:rPr>
              <w:lastRenderedPageBreak/>
              <w:t xml:space="preserve">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no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58B665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8ABEF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426F5" w14:textId="77777777" w:rsidR="009B300C" w:rsidRPr="006F264E" w:rsidRDefault="009B300C" w:rsidP="00F52157">
            <w:pPr>
              <w:spacing w:before="240"/>
              <w:jc w:val="center"/>
              <w:rPr>
                <w:sz w:val="20"/>
                <w:szCs w:val="20"/>
                <w:lang w:eastAsia="lv-LV"/>
              </w:rPr>
            </w:pPr>
            <w:r w:rsidRPr="006F264E">
              <w:rPr>
                <w:sz w:val="20"/>
                <w:szCs w:val="20"/>
                <w:lang w:eastAsia="lv-LV"/>
              </w:rPr>
              <w:t>60047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75E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BEB791" w14:textId="77777777" w:rsidR="009B300C" w:rsidRPr="006F264E" w:rsidRDefault="009B300C" w:rsidP="00F52157">
            <w:pPr>
              <w:rPr>
                <w:color w:val="000000"/>
                <w:sz w:val="20"/>
                <w:szCs w:val="20"/>
                <w:lang w:eastAsia="lv-LV"/>
              </w:rPr>
            </w:pPr>
            <w:r w:rsidRPr="006F264E">
              <w:rPr>
                <w:color w:val="000000"/>
                <w:sz w:val="20"/>
                <w:szCs w:val="20"/>
                <w:lang w:eastAsia="lv-LV"/>
              </w:rPr>
              <w:t>Laiks epidemioloģiskās drošības pasākumu nodrošināšanai rehabilitācijas un psihiatrijas dienas stacionārā stacionārajās ārstniecības iestādēs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4E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BB63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E863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508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BE89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AB32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71DCA7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w:t>
            </w:r>
            <w:r w:rsidRPr="006F264E">
              <w:rPr>
                <w:color w:val="000000"/>
                <w:sz w:val="20"/>
                <w:szCs w:val="20"/>
                <w:lang w:eastAsia="lv-LV"/>
              </w:rPr>
              <w:lastRenderedPageBreak/>
              <w:t>Manipulāciju nedrīkst norādīt kopā ar manipulācijām 60171 un 60172.</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EE1AE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ārsta </w:t>
            </w:r>
            <w:r w:rsidRPr="006F264E">
              <w:rPr>
                <w:color w:val="000000"/>
                <w:sz w:val="20"/>
                <w:szCs w:val="20"/>
                <w:lang w:eastAsia="lv-LV"/>
              </w:rPr>
              <w:lastRenderedPageBreak/>
              <w:t>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w:t>
            </w:r>
            <w:r w:rsidRPr="006F264E">
              <w:rPr>
                <w:color w:val="000000"/>
                <w:sz w:val="20"/>
                <w:szCs w:val="20"/>
                <w:lang w:eastAsia="lv-LV"/>
              </w:rPr>
              <w:lastRenderedPageBreak/>
              <w:t xml:space="preserve">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atzītas COVID-19 kontaktpersonas aprūpi medicīniskās novērošanas 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w:t>
            </w:r>
            <w:r w:rsidRPr="006F264E">
              <w:rPr>
                <w:color w:val="000000"/>
                <w:sz w:val="20"/>
                <w:szCs w:val="20"/>
                <w:lang w:eastAsia="lv-LV"/>
              </w:rPr>
              <w:lastRenderedPageBreak/>
              <w:t xml:space="preserve">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ceļa izdevumiem un ceļā pavadīto laiku, veicot </w:t>
            </w:r>
            <w:r w:rsidRPr="006F264E">
              <w:rPr>
                <w:color w:val="000000"/>
                <w:sz w:val="20"/>
                <w:szCs w:val="20"/>
                <w:lang w:eastAsia="lv-LV"/>
              </w:rPr>
              <w:lastRenderedPageBreak/>
              <w:t>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lastRenderedPageBreak/>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Konsultācija pacientam ar 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w:t>
            </w:r>
            <w:r w:rsidRPr="006F264E">
              <w:rPr>
                <w:color w:val="000000"/>
                <w:sz w:val="20"/>
                <w:szCs w:val="20"/>
              </w:rPr>
              <w:lastRenderedPageBreak/>
              <w:t>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 xml:space="preserve">Morfoloģija, </w:t>
            </w:r>
            <w:r w:rsidRPr="006F264E">
              <w:rPr>
                <w:sz w:val="20"/>
                <w:szCs w:val="20"/>
              </w:rPr>
              <w:lastRenderedPageBreak/>
              <w:t>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lastRenderedPageBreak/>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w:t>
            </w:r>
            <w:r w:rsidRPr="006F264E">
              <w:rPr>
                <w:sz w:val="20"/>
                <w:szCs w:val="20"/>
              </w:rPr>
              <w:lastRenderedPageBreak/>
              <w:t xml:space="preserve">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w:t>
            </w:r>
            <w:r w:rsidRPr="006F264E">
              <w:rPr>
                <w:color w:val="FF0000"/>
                <w:sz w:val="20"/>
                <w:szCs w:val="20"/>
              </w:rPr>
              <w:lastRenderedPageBreak/>
              <w:t xml:space="preserve">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w:t>
            </w:r>
            <w:r w:rsidRPr="006F264E">
              <w:rPr>
                <w:color w:val="FF0000"/>
                <w:sz w:val="20"/>
                <w:szCs w:val="20"/>
              </w:rPr>
              <w:lastRenderedPageBreak/>
              <w:t xml:space="preserve">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w:t>
            </w:r>
            <w:r w:rsidRPr="003C3DFB">
              <w:rPr>
                <w:sz w:val="20"/>
                <w:szCs w:val="20"/>
              </w:rPr>
              <w:lastRenderedPageBreak/>
              <w:t>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lastRenderedPageBreak/>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1830BE28" w14:textId="77777777" w:rsidR="009B300C" w:rsidRDefault="009B300C" w:rsidP="009B300C">
      <w:pPr>
        <w:pStyle w:val="BodyText"/>
        <w:rPr>
          <w:b w:val="0"/>
          <w:bCs w:val="0"/>
        </w:rPr>
      </w:pPr>
    </w:p>
    <w:p w14:paraId="20FBC892" w14:textId="77777777" w:rsidR="009B300C" w:rsidRDefault="009B300C" w:rsidP="009B300C">
      <w:pPr>
        <w:pStyle w:val="BodyText"/>
        <w:rPr>
          <w:b w:val="0"/>
          <w:bCs w:val="0"/>
        </w:rPr>
      </w:pPr>
    </w:p>
    <w:p w14:paraId="764A39D0" w14:textId="77777777" w:rsidR="009B300C" w:rsidRDefault="009B300C" w:rsidP="009B300C">
      <w:pPr>
        <w:pStyle w:val="BodyText"/>
        <w:rPr>
          <w:b w:val="0"/>
          <w:bCs w:val="0"/>
        </w:rPr>
      </w:pPr>
    </w:p>
    <w:p w14:paraId="1898EA49" w14:textId="77777777" w:rsidR="009B300C" w:rsidRDefault="009B300C" w:rsidP="009B300C">
      <w:pPr>
        <w:pStyle w:val="BodyText"/>
        <w:rPr>
          <w:b w:val="0"/>
          <w:bCs w:val="0"/>
        </w:rPr>
      </w:pPr>
    </w:p>
    <w:p w14:paraId="3D60A09A" w14:textId="77777777" w:rsidR="009B300C" w:rsidRDefault="009B300C" w:rsidP="009B300C">
      <w:pPr>
        <w:pStyle w:val="BodyText"/>
        <w:rPr>
          <w:b w:val="0"/>
          <w:bCs w:val="0"/>
        </w:rPr>
      </w:pPr>
    </w:p>
    <w:p w14:paraId="3EFE029F" w14:textId="77777777" w:rsidR="009B300C" w:rsidRDefault="009B300C" w:rsidP="009B300C">
      <w:pPr>
        <w:pStyle w:val="BodyText"/>
        <w:rPr>
          <w:b w:val="0"/>
          <w:bCs w:val="0"/>
        </w:rPr>
      </w:pPr>
    </w:p>
    <w:p w14:paraId="31B75CF6" w14:textId="77777777" w:rsidR="009B300C" w:rsidRDefault="009B300C" w:rsidP="009B300C">
      <w:pPr>
        <w:pStyle w:val="BodyText"/>
        <w:rPr>
          <w:b w:val="0"/>
          <w:bCs w:val="0"/>
        </w:rPr>
      </w:pPr>
    </w:p>
    <w:p w14:paraId="627622FB" w14:textId="77777777" w:rsidR="009B300C" w:rsidRDefault="009B300C" w:rsidP="009B300C">
      <w:pPr>
        <w:pStyle w:val="BodyText"/>
        <w:rPr>
          <w:b w:val="0"/>
          <w:bCs w:val="0"/>
        </w:rPr>
      </w:pPr>
    </w:p>
    <w:p w14:paraId="6928DA50" w14:textId="77777777" w:rsidR="009B300C" w:rsidRDefault="009B300C" w:rsidP="009B300C">
      <w:pPr>
        <w:pStyle w:val="BodyText"/>
        <w:rPr>
          <w:b w:val="0"/>
          <w:bCs w:val="0"/>
        </w:rPr>
      </w:pPr>
    </w:p>
    <w:p w14:paraId="5F4C14D0" w14:textId="77777777" w:rsidR="009B300C" w:rsidRDefault="009B300C" w:rsidP="009B300C">
      <w:pPr>
        <w:pStyle w:val="BodyText"/>
        <w:rPr>
          <w:b w:val="0"/>
          <w:bCs w:val="0"/>
        </w:rPr>
      </w:pPr>
    </w:p>
    <w:p w14:paraId="04C76308" w14:textId="77777777" w:rsidR="009B300C" w:rsidRDefault="009B300C" w:rsidP="009B300C">
      <w:pPr>
        <w:pStyle w:val="BodyText"/>
        <w:rPr>
          <w:b w:val="0"/>
          <w:bCs w:val="0"/>
        </w:rPr>
      </w:pPr>
    </w:p>
    <w:p w14:paraId="702ED9DC" w14:textId="77777777" w:rsidR="009B300C" w:rsidRDefault="009B300C" w:rsidP="009B300C">
      <w:pPr>
        <w:pStyle w:val="BodyText"/>
        <w:rPr>
          <w:b w:val="0"/>
          <w:bCs w:val="0"/>
        </w:rPr>
      </w:pPr>
    </w:p>
    <w:p w14:paraId="5068B05A" w14:textId="77777777" w:rsidR="009B300C" w:rsidRDefault="009B300C" w:rsidP="009B300C">
      <w:pPr>
        <w:pStyle w:val="BodyText"/>
        <w:rPr>
          <w:b w:val="0"/>
          <w:bCs w:val="0"/>
        </w:rPr>
      </w:pPr>
    </w:p>
    <w:p w14:paraId="5B424808" w14:textId="77777777" w:rsidR="009B300C" w:rsidRDefault="009B300C" w:rsidP="009B300C">
      <w:pPr>
        <w:pStyle w:val="BodyText"/>
        <w:rPr>
          <w:b w:val="0"/>
          <w:bCs w:val="0"/>
        </w:rPr>
      </w:pPr>
    </w:p>
    <w:p w14:paraId="18D244DC" w14:textId="77777777" w:rsidR="009B300C" w:rsidRPr="008D6F36" w:rsidRDefault="009B300C" w:rsidP="009B300C">
      <w:pPr>
        <w:pStyle w:val="BodyText"/>
        <w:rPr>
          <w:b w:val="0"/>
          <w:bCs w:val="0"/>
        </w:rPr>
      </w:pPr>
    </w:p>
    <w:p w14:paraId="55A85941" w14:textId="77777777" w:rsidR="009B300C" w:rsidRPr="00E76502" w:rsidRDefault="009B300C" w:rsidP="009B300C">
      <w:pPr>
        <w:pStyle w:val="BodyText"/>
        <w:numPr>
          <w:ilvl w:val="0"/>
          <w:numId w:val="34"/>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806160">
        <w:trPr>
          <w:trHeight w:val="112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w:t>
            </w:r>
            <w:r w:rsidRPr="00E54F58">
              <w:rPr>
                <w:strike/>
                <w:color w:val="000000"/>
                <w:sz w:val="20"/>
                <w:szCs w:val="20"/>
                <w:lang w:eastAsia="lv-LV"/>
              </w:rPr>
              <w:lastRenderedPageBreak/>
              <w:t>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77F877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lastRenderedPageBreak/>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lastRenderedPageBreak/>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r>
            <w:r w:rsidRPr="00E54F58">
              <w:rPr>
                <w:strike/>
                <w:sz w:val="20"/>
                <w:szCs w:val="20"/>
              </w:rPr>
              <w:lastRenderedPageBreak/>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w:t>
            </w:r>
            <w:r w:rsidRPr="00E54F58">
              <w:rPr>
                <w:strike/>
                <w:sz w:val="20"/>
                <w:szCs w:val="20"/>
              </w:rPr>
              <w:lastRenderedPageBreak/>
              <w:t xml:space="preserve">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w:t>
            </w:r>
            <w:r w:rsidRPr="00E54F58">
              <w:rPr>
                <w:strike/>
                <w:sz w:val="20"/>
                <w:szCs w:val="20"/>
              </w:rPr>
              <w:lastRenderedPageBreak/>
              <w:t>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lastRenderedPageBreak/>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r>
            <w:r w:rsidRPr="00E54F58">
              <w:rPr>
                <w:strike/>
                <w:sz w:val="20"/>
                <w:szCs w:val="20"/>
              </w:rPr>
              <w:lastRenderedPageBreak/>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Laiks epidemioloģiskās drošības pasākumu nodrošināšanai zobārstam vai mutes, sejas un žokļu 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ārstam vai funkcionālajam speciālistam ambulatoro veselības aprūpes pakalpojumu nodrošināšanai stacionārajās ārstniecības </w:t>
            </w:r>
            <w:r w:rsidRPr="00E54F58">
              <w:rPr>
                <w:strike/>
                <w:sz w:val="20"/>
                <w:szCs w:val="20"/>
              </w:rPr>
              <w:lastRenderedPageBreak/>
              <w:t>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 xml:space="preserve">Manipulāciju apmaksā zobārstniecības māsai, higiēnistam, zobu feldšerim, zobārsta asistentam vai zobu tehniķim vienu reizi viena pacienta apmeklējuma laikā. Manipulācija ar pašreizējiem apmaksas nosacījumiem ir spēkā līdz 31.12.2021. saskaņā </w:t>
            </w:r>
            <w:r w:rsidRPr="00E54F58">
              <w:rPr>
                <w:strike/>
                <w:sz w:val="20"/>
                <w:szCs w:val="20"/>
              </w:rPr>
              <w:lastRenderedPageBreak/>
              <w:t>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lastRenderedPageBreak/>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w:t>
            </w:r>
            <w:r w:rsidRPr="003312D2">
              <w:rPr>
                <w:strike/>
                <w:sz w:val="20"/>
                <w:szCs w:val="20"/>
              </w:rPr>
              <w:lastRenderedPageBreak/>
              <w:t xml:space="preserve">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lastRenderedPageBreak/>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w:t>
            </w:r>
            <w:r w:rsidRPr="003312D2">
              <w:rPr>
                <w:strike/>
                <w:sz w:val="20"/>
                <w:szCs w:val="20"/>
              </w:rPr>
              <w:lastRenderedPageBreak/>
              <w:t xml:space="preserve">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bl>
    <w:p w14:paraId="41E06B5A" w14:textId="77F17C25" w:rsidR="009B300C" w:rsidRDefault="009B300C" w:rsidP="009B300C">
      <w:pPr>
        <w:pStyle w:val="Heading1"/>
        <w:ind w:left="0"/>
        <w:rPr>
          <w:sz w:val="24"/>
          <w:szCs w:val="24"/>
        </w:rPr>
      </w:pPr>
    </w:p>
    <w:p w14:paraId="06349194" w14:textId="29C1913D" w:rsidR="003312D2" w:rsidRDefault="003312D2" w:rsidP="009B300C">
      <w:pPr>
        <w:pStyle w:val="Heading1"/>
        <w:ind w:left="0"/>
        <w:rPr>
          <w:sz w:val="24"/>
          <w:szCs w:val="24"/>
        </w:rPr>
      </w:pPr>
    </w:p>
    <w:p w14:paraId="01EDAD07" w14:textId="16138D2F" w:rsidR="003312D2" w:rsidRDefault="003312D2" w:rsidP="009B300C">
      <w:pPr>
        <w:pStyle w:val="Heading1"/>
        <w:ind w:left="0"/>
        <w:rPr>
          <w:sz w:val="24"/>
          <w:szCs w:val="24"/>
        </w:rPr>
      </w:pPr>
    </w:p>
    <w:p w14:paraId="071BFAEE" w14:textId="57761F14" w:rsidR="003312D2" w:rsidRDefault="003312D2" w:rsidP="009B300C">
      <w:pPr>
        <w:pStyle w:val="Heading1"/>
        <w:ind w:left="0"/>
        <w:rPr>
          <w:sz w:val="24"/>
          <w:szCs w:val="24"/>
        </w:rPr>
      </w:pPr>
    </w:p>
    <w:p w14:paraId="699318F5" w14:textId="4B314EE9" w:rsidR="003312D2" w:rsidRDefault="003312D2" w:rsidP="009B300C">
      <w:pPr>
        <w:pStyle w:val="Heading1"/>
        <w:ind w:left="0"/>
        <w:rPr>
          <w:sz w:val="24"/>
          <w:szCs w:val="24"/>
        </w:rPr>
      </w:pPr>
    </w:p>
    <w:p w14:paraId="3DAD2DAA" w14:textId="37BDB79D" w:rsidR="003312D2" w:rsidRDefault="003312D2" w:rsidP="009B300C">
      <w:pPr>
        <w:pStyle w:val="Heading1"/>
        <w:ind w:left="0"/>
        <w:rPr>
          <w:sz w:val="24"/>
          <w:szCs w:val="24"/>
        </w:rPr>
      </w:pPr>
    </w:p>
    <w:p w14:paraId="0439C83F" w14:textId="37C3D3EE" w:rsidR="003312D2" w:rsidRDefault="003312D2" w:rsidP="009B300C">
      <w:pPr>
        <w:pStyle w:val="Heading1"/>
        <w:ind w:left="0"/>
        <w:rPr>
          <w:sz w:val="24"/>
          <w:szCs w:val="24"/>
        </w:rPr>
      </w:pPr>
    </w:p>
    <w:p w14:paraId="6EA63064" w14:textId="789B71D9" w:rsidR="003312D2" w:rsidRDefault="003312D2" w:rsidP="009B300C">
      <w:pPr>
        <w:pStyle w:val="Heading1"/>
        <w:ind w:left="0"/>
        <w:rPr>
          <w:sz w:val="24"/>
          <w:szCs w:val="24"/>
        </w:rPr>
      </w:pPr>
    </w:p>
    <w:p w14:paraId="7E6B860B" w14:textId="7E0249B4" w:rsidR="003312D2" w:rsidRDefault="003312D2" w:rsidP="009B300C">
      <w:pPr>
        <w:pStyle w:val="Heading1"/>
        <w:ind w:left="0"/>
        <w:rPr>
          <w:sz w:val="24"/>
          <w:szCs w:val="24"/>
        </w:rPr>
      </w:pPr>
    </w:p>
    <w:p w14:paraId="38D28C61" w14:textId="0060472C" w:rsidR="003312D2" w:rsidRDefault="003312D2" w:rsidP="009B300C">
      <w:pPr>
        <w:pStyle w:val="Heading1"/>
        <w:ind w:left="0"/>
        <w:rPr>
          <w:sz w:val="24"/>
          <w:szCs w:val="24"/>
        </w:rPr>
      </w:pPr>
    </w:p>
    <w:p w14:paraId="089725F9" w14:textId="299883C6" w:rsidR="003312D2" w:rsidRDefault="003312D2" w:rsidP="009B300C">
      <w:pPr>
        <w:pStyle w:val="Heading1"/>
        <w:ind w:left="0"/>
        <w:rPr>
          <w:sz w:val="24"/>
          <w:szCs w:val="24"/>
        </w:rPr>
      </w:pPr>
    </w:p>
    <w:p w14:paraId="5B03FB44" w14:textId="42CB4113" w:rsidR="003312D2" w:rsidRDefault="003312D2" w:rsidP="009B300C">
      <w:pPr>
        <w:pStyle w:val="Heading1"/>
        <w:ind w:left="0"/>
        <w:rPr>
          <w:sz w:val="24"/>
          <w:szCs w:val="24"/>
        </w:rPr>
      </w:pPr>
    </w:p>
    <w:p w14:paraId="0A8C3E23" w14:textId="41387C16" w:rsidR="003312D2" w:rsidRDefault="003312D2" w:rsidP="009B300C">
      <w:pPr>
        <w:pStyle w:val="Heading1"/>
        <w:ind w:left="0"/>
        <w:rPr>
          <w:sz w:val="24"/>
          <w:szCs w:val="24"/>
        </w:rPr>
      </w:pPr>
    </w:p>
    <w:p w14:paraId="2EFD3AC0" w14:textId="19191155" w:rsidR="003312D2" w:rsidRDefault="003312D2" w:rsidP="009B300C">
      <w:pPr>
        <w:pStyle w:val="Heading1"/>
        <w:ind w:left="0"/>
        <w:rPr>
          <w:sz w:val="24"/>
          <w:szCs w:val="24"/>
        </w:rPr>
      </w:pPr>
    </w:p>
    <w:p w14:paraId="71BAA5E5" w14:textId="207B2EFD" w:rsidR="00D50723" w:rsidRDefault="00D50723" w:rsidP="009B300C">
      <w:pPr>
        <w:pStyle w:val="Heading1"/>
        <w:ind w:left="0"/>
        <w:rPr>
          <w:sz w:val="24"/>
          <w:szCs w:val="24"/>
        </w:rPr>
      </w:pPr>
    </w:p>
    <w:p w14:paraId="30C66FDC" w14:textId="47BE1D7E" w:rsidR="00D50723" w:rsidRDefault="00D50723" w:rsidP="009B300C">
      <w:pPr>
        <w:pStyle w:val="Heading1"/>
        <w:ind w:left="0"/>
        <w:rPr>
          <w:sz w:val="24"/>
          <w:szCs w:val="24"/>
        </w:rPr>
      </w:pPr>
    </w:p>
    <w:p w14:paraId="637E4B0E" w14:textId="7F124195" w:rsidR="00D50723" w:rsidRDefault="00D50723" w:rsidP="009B300C">
      <w:pPr>
        <w:pStyle w:val="Heading1"/>
        <w:ind w:left="0"/>
        <w:rPr>
          <w:sz w:val="24"/>
          <w:szCs w:val="24"/>
        </w:rPr>
      </w:pPr>
    </w:p>
    <w:p w14:paraId="7A6AE7BD" w14:textId="72492C2D" w:rsidR="00D50723" w:rsidRDefault="00D50723" w:rsidP="009B300C">
      <w:pPr>
        <w:pStyle w:val="Heading1"/>
        <w:ind w:left="0"/>
        <w:rPr>
          <w:sz w:val="24"/>
          <w:szCs w:val="24"/>
        </w:rPr>
      </w:pPr>
    </w:p>
    <w:p w14:paraId="7C30B78D" w14:textId="77777777" w:rsidR="00D50723" w:rsidRDefault="00D50723" w:rsidP="009B300C">
      <w:pPr>
        <w:pStyle w:val="Heading1"/>
        <w:ind w:left="0"/>
        <w:rPr>
          <w:sz w:val="24"/>
          <w:szCs w:val="24"/>
        </w:rPr>
      </w:pPr>
    </w:p>
    <w:p w14:paraId="59832F64" w14:textId="77777777" w:rsidR="009B300C" w:rsidRDefault="009B300C" w:rsidP="009B300C">
      <w:pPr>
        <w:pStyle w:val="Heading1"/>
        <w:ind w:left="0"/>
        <w:rPr>
          <w:sz w:val="24"/>
          <w:szCs w:val="24"/>
        </w:rPr>
      </w:pPr>
    </w:p>
    <w:p w14:paraId="18BDE50C" w14:textId="77777777" w:rsidR="009B300C" w:rsidRPr="00806160" w:rsidRDefault="009B300C" w:rsidP="009B300C">
      <w:pPr>
        <w:pStyle w:val="Heading1"/>
        <w:ind w:left="0" w:firstLine="426"/>
      </w:pPr>
      <w:bookmarkStart w:id="6" w:name="_Toc90589042"/>
      <w:bookmarkStart w:id="7" w:name="_Toc91758590"/>
      <w:r w:rsidRPr="00806160">
        <w:lastRenderedPageBreak/>
        <w:t>Izmaiņas Manipulāciju sarakstā no 01.11.2021.</w:t>
      </w:r>
      <w:bookmarkEnd w:id="6"/>
      <w:bookmarkEnd w:id="7"/>
    </w:p>
    <w:p w14:paraId="4808CF68" w14:textId="77777777" w:rsidR="009B300C" w:rsidRDefault="009B300C" w:rsidP="009B300C">
      <w:pPr>
        <w:rPr>
          <w:b/>
          <w:bCs/>
          <w:sz w:val="24"/>
          <w:szCs w:val="24"/>
        </w:rPr>
      </w:pPr>
    </w:p>
    <w:p w14:paraId="15099EA7" w14:textId="77777777" w:rsidR="009B300C" w:rsidRPr="00F82CB9" w:rsidRDefault="009B300C" w:rsidP="009B300C">
      <w:pPr>
        <w:pStyle w:val="BodyText"/>
        <w:numPr>
          <w:ilvl w:val="0"/>
          <w:numId w:val="38"/>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77777777" w:rsidR="009B300C" w:rsidRPr="00BC3051" w:rsidRDefault="009B300C" w:rsidP="00F52157">
            <w:pPr>
              <w:jc w:val="center"/>
              <w:rPr>
                <w:color w:val="000000"/>
                <w:sz w:val="20"/>
                <w:szCs w:val="20"/>
                <w:lang w:eastAsia="lv-LV"/>
              </w:rPr>
            </w:pPr>
            <w:r>
              <w:rPr>
                <w:color w:val="000000"/>
                <w:sz w:val="20"/>
                <w:szCs w:val="20"/>
                <w:lang w:eastAsia="lv-LV"/>
              </w:rPr>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2FC9B45" w14:textId="77777777" w:rsidR="009B300C" w:rsidRDefault="009B300C" w:rsidP="009B300C">
      <w:pPr>
        <w:pStyle w:val="Heading1"/>
        <w:ind w:left="0"/>
        <w:rPr>
          <w:sz w:val="24"/>
          <w:szCs w:val="24"/>
        </w:rPr>
      </w:pPr>
    </w:p>
    <w:p w14:paraId="0FDD84DB" w14:textId="77777777" w:rsidR="009B300C" w:rsidRPr="00253426" w:rsidRDefault="009B300C" w:rsidP="009B300C">
      <w:pPr>
        <w:pStyle w:val="Heading1"/>
        <w:numPr>
          <w:ilvl w:val="0"/>
          <w:numId w:val="38"/>
        </w:numPr>
        <w:rPr>
          <w:sz w:val="24"/>
          <w:szCs w:val="24"/>
        </w:rPr>
      </w:pPr>
      <w:bookmarkStart w:id="8" w:name="_Toc90588267"/>
      <w:bookmarkStart w:id="9" w:name="_Toc90589043"/>
      <w:bookmarkStart w:id="10" w:name="_Toc91758591"/>
      <w:r w:rsidRPr="00253426">
        <w:rPr>
          <w:sz w:val="24"/>
          <w:szCs w:val="24"/>
        </w:rPr>
        <w:t>Pārrēķinātas manipulācijas</w:t>
      </w:r>
      <w:bookmarkEnd w:id="8"/>
      <w:bookmarkEnd w:id="9"/>
      <w:bookmarkEnd w:id="10"/>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B300C">
      <w:pPr>
        <w:pStyle w:val="BodyText"/>
        <w:widowControl/>
        <w:numPr>
          <w:ilvl w:val="0"/>
          <w:numId w:val="38"/>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3369A3">
        <w:trPr>
          <w:trHeight w:val="1550"/>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06F243D1" w14:textId="77777777" w:rsidR="009B300C" w:rsidRDefault="009B300C"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11" w:name="_Toc91758592"/>
      <w:r w:rsidRPr="00806160">
        <w:lastRenderedPageBreak/>
        <w:t>Izmaiņas Manipulāciju sarakstā no 15.10.2021.</w:t>
      </w:r>
      <w:bookmarkEnd w:id="11"/>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F255B9">
        <w:trPr>
          <w:trHeight w:val="2599"/>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w:t>
            </w:r>
            <w:r w:rsidRPr="00F255B9">
              <w:rPr>
                <w:color w:val="000000"/>
                <w:sz w:val="18"/>
                <w:szCs w:val="18"/>
                <w:lang w:eastAsia="lv-LV"/>
              </w:rPr>
              <w:lastRenderedPageBreak/>
              <w:t xml:space="preserve">vakcināciju. Vienam 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w:t>
            </w:r>
            <w:r w:rsidRPr="00F255B9">
              <w:rPr>
                <w:color w:val="000000"/>
                <w:sz w:val="18"/>
                <w:szCs w:val="18"/>
                <w:lang w:eastAsia="lv-LV"/>
              </w:rPr>
              <w:lastRenderedPageBreak/>
              <w:t>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 xml:space="preserve">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w:t>
            </w:r>
            <w:r w:rsidRPr="00F255B9">
              <w:rPr>
                <w:color w:val="000000"/>
                <w:sz w:val="18"/>
                <w:szCs w:val="18"/>
              </w:rPr>
              <w:lastRenderedPageBreak/>
              <w:t>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7777777" w:rsidR="00B67BD6" w:rsidRDefault="00B67BD6"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lastRenderedPageBreak/>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B67BD6">
        <w:trPr>
          <w:trHeight w:val="3558"/>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B67BD6">
        <w:trPr>
          <w:trHeight w:val="1264"/>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xml:space="preserve">Citās sadaļās neiekļautās </w:t>
            </w:r>
            <w:r w:rsidRPr="004774E8">
              <w:rPr>
                <w:color w:val="000000"/>
                <w:sz w:val="18"/>
                <w:szCs w:val="18"/>
                <w:lang w:eastAsia="lv-LV"/>
              </w:rPr>
              <w:lastRenderedPageBreak/>
              <w:t>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lastRenderedPageBreak/>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w:t>
            </w:r>
            <w:r w:rsidRPr="004774E8">
              <w:rPr>
                <w:color w:val="000000"/>
                <w:sz w:val="18"/>
                <w:szCs w:val="18"/>
                <w:lang w:eastAsia="lv-LV"/>
              </w:rPr>
              <w:lastRenderedPageBreak/>
              <w:t>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lastRenderedPageBreak/>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w:t>
            </w:r>
            <w:r w:rsidRPr="004774E8">
              <w:rPr>
                <w:color w:val="000000"/>
                <w:sz w:val="18"/>
                <w:szCs w:val="18"/>
                <w:lang w:eastAsia="lv-LV"/>
              </w:rPr>
              <w:lastRenderedPageBreak/>
              <w:t>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perorāli lietojamu papildus medicīnisko uzturu vienam pacientam par vienu diennakti. Nenorādīt kopā ar manipulācijām 04198 un </w:t>
            </w:r>
            <w:r w:rsidRPr="004774E8">
              <w:rPr>
                <w:color w:val="000000"/>
                <w:sz w:val="18"/>
                <w:szCs w:val="18"/>
                <w:lang w:eastAsia="lv-LV"/>
              </w:rPr>
              <w:lastRenderedPageBreak/>
              <w:t>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 xml:space="preserve">Manipulācija tiek </w:t>
            </w:r>
            <w:r w:rsidRPr="004774E8">
              <w:rPr>
                <w:strike/>
                <w:color w:val="000000"/>
                <w:sz w:val="18"/>
                <w:szCs w:val="18"/>
                <w:lang w:eastAsia="lv-LV"/>
              </w:rPr>
              <w:lastRenderedPageBreak/>
              <w:t>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Manipulācijas tarifā iekļautas reaģentu izmaksas. Manipulāciju nenorāda kopā ar 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lastRenderedPageBreak/>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r>
            <w:r w:rsidRPr="004774E8">
              <w:rPr>
                <w:sz w:val="18"/>
                <w:szCs w:val="18"/>
                <w:lang w:eastAsia="lv-LV"/>
              </w:rPr>
              <w:lastRenderedPageBreak/>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lastRenderedPageBreak/>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12" w:name="_Toc91758593"/>
      <w:r w:rsidRPr="002D3E77">
        <w:t xml:space="preserve">Izmaiņas Manipulāciju sarakstā </w:t>
      </w:r>
      <w:r w:rsidR="00106720">
        <w:t>no</w:t>
      </w:r>
      <w:r w:rsidRPr="002D3E77">
        <w:t xml:space="preserve"> 01.10.2021.</w:t>
      </w:r>
      <w:bookmarkEnd w:id="12"/>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B732FB">
        <w:trPr>
          <w:trHeight w:val="287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lastRenderedPageBreak/>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905EC4F" w14:textId="0B87F205" w:rsidR="00E84CE3" w:rsidRPr="00D61347" w:rsidRDefault="002B43D2" w:rsidP="00D61347">
            <w:pPr>
              <w:jc w:val="center"/>
              <w:rPr>
                <w:sz w:val="18"/>
                <w:szCs w:val="18"/>
              </w:rPr>
            </w:pPr>
            <w:r w:rsidRPr="002B43D2">
              <w:rPr>
                <w:sz w:val="18"/>
                <w:szCs w:val="18"/>
              </w:rPr>
              <w:t>Ģenētika</w:t>
            </w:r>
          </w:p>
          <w:p w14:paraId="6FB0E750" w14:textId="14CD973E"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407092BB" w:rsidR="002B43D2" w:rsidRPr="002B43D2" w:rsidRDefault="002B43D2" w:rsidP="002B43D2">
            <w:pPr>
              <w:jc w:val="center"/>
              <w:rPr>
                <w:color w:val="000000"/>
                <w:sz w:val="18"/>
                <w:szCs w:val="18"/>
                <w:lang w:eastAsia="lv-LV"/>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76C69242"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w:t>
            </w:r>
            <w:r w:rsidRPr="002B43D2">
              <w:rPr>
                <w:sz w:val="18"/>
                <w:szCs w:val="18"/>
              </w:rPr>
              <w:lastRenderedPageBreak/>
              <w:t xml:space="preserve">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5252CF">
        <w:trPr>
          <w:trHeight w:val="3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732FB">
        <w:trPr>
          <w:trHeight w:val="156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77777777" w:rsidR="0042421A" w:rsidRDefault="0042421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w:t>
            </w:r>
            <w:r w:rsidRPr="002B43D2">
              <w:rPr>
                <w:sz w:val="18"/>
                <w:szCs w:val="18"/>
              </w:rPr>
              <w:lastRenderedPageBreak/>
              <w:t>medicīnas centrs”, AS "Veselības centru apvienība”.</w:t>
            </w:r>
            <w:r w:rsidRPr="002B43D2">
              <w:rPr>
                <w:sz w:val="18"/>
                <w:szCs w:val="18"/>
              </w:rPr>
              <w:br/>
              <w:t>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lastRenderedPageBreak/>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 xml:space="preserve">Piemaksa par laiku un individuālajiem aizsardzības līdzekļiem epidemioloģiskās drošības pasākumu nodrošināšanai ārstniecības un pacientu aprūpes personām zobārstniecības pakalpojumu nodrošināšanai </w:t>
            </w:r>
            <w:r w:rsidRPr="00EE0E04">
              <w:rPr>
                <w:sz w:val="18"/>
                <w:szCs w:val="18"/>
              </w:rPr>
              <w:lastRenderedPageBreak/>
              <w:t>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lastRenderedPageBreak/>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w:t>
            </w:r>
            <w:r w:rsidRPr="002B43D2">
              <w:rPr>
                <w:sz w:val="18"/>
                <w:szCs w:val="18"/>
              </w:rPr>
              <w:lastRenderedPageBreak/>
              <w:t>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733E2A">
        <w:trPr>
          <w:trHeight w:val="79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733E2A">
        <w:trPr>
          <w:trHeight w:val="121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733E2A">
        <w:trPr>
          <w:trHeight w:val="98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466B0FD8" w:rsidR="00E94EE2" w:rsidRPr="00E94EE2" w:rsidRDefault="00E94EE2" w:rsidP="00E94EE2">
            <w:pPr>
              <w:jc w:val="center"/>
              <w:rPr>
                <w:sz w:val="18"/>
                <w:szCs w:val="18"/>
              </w:rPr>
            </w:pPr>
            <w:r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68AAA53E" w14:textId="77777777" w:rsidR="00E76502" w:rsidRPr="00525440" w:rsidRDefault="00E76502" w:rsidP="00E76502"/>
    <w:p w14:paraId="327BBBDF" w14:textId="7D5A725B" w:rsidR="00075CFA" w:rsidRDefault="00075CFA" w:rsidP="00B732FB">
      <w:pPr>
        <w:rPr>
          <w:b/>
          <w:bCs/>
          <w:sz w:val="28"/>
          <w:szCs w:val="28"/>
        </w:rPr>
      </w:pPr>
    </w:p>
    <w:p w14:paraId="11E20FE3" w14:textId="109524A1" w:rsidR="00ED282B" w:rsidRDefault="00ED282B" w:rsidP="00B732FB">
      <w:pPr>
        <w:rPr>
          <w:b/>
          <w:bCs/>
          <w:sz w:val="28"/>
          <w:szCs w:val="28"/>
        </w:rPr>
      </w:pPr>
    </w:p>
    <w:p w14:paraId="44AAFDB1" w14:textId="6ED35AE5" w:rsidR="00733E2A" w:rsidRDefault="00733E2A" w:rsidP="00B732FB">
      <w:pPr>
        <w:rPr>
          <w:b/>
          <w:bCs/>
          <w:sz w:val="28"/>
          <w:szCs w:val="28"/>
        </w:rPr>
      </w:pPr>
    </w:p>
    <w:p w14:paraId="3D52FD1A" w14:textId="33C4964D" w:rsidR="00733E2A" w:rsidRDefault="00733E2A" w:rsidP="00B732FB">
      <w:pPr>
        <w:rPr>
          <w:b/>
          <w:bCs/>
          <w:sz w:val="28"/>
          <w:szCs w:val="28"/>
        </w:rPr>
      </w:pPr>
    </w:p>
    <w:p w14:paraId="17C6E93B" w14:textId="44EE4D6E" w:rsidR="00733E2A" w:rsidRDefault="00733E2A" w:rsidP="00B732FB">
      <w:pPr>
        <w:rPr>
          <w:b/>
          <w:bCs/>
          <w:sz w:val="28"/>
          <w:szCs w:val="28"/>
        </w:rPr>
      </w:pPr>
    </w:p>
    <w:p w14:paraId="051D5C5E" w14:textId="526D28BC" w:rsidR="00733E2A" w:rsidRDefault="00733E2A" w:rsidP="00B732FB">
      <w:pPr>
        <w:rPr>
          <w:b/>
          <w:bCs/>
          <w:sz w:val="28"/>
          <w:szCs w:val="28"/>
        </w:rPr>
      </w:pPr>
    </w:p>
    <w:p w14:paraId="40C0A30B" w14:textId="393BA24E" w:rsidR="00733E2A" w:rsidRDefault="00733E2A" w:rsidP="00B732FB">
      <w:pPr>
        <w:rPr>
          <w:b/>
          <w:bCs/>
          <w:sz w:val="28"/>
          <w:szCs w:val="28"/>
        </w:rPr>
      </w:pPr>
    </w:p>
    <w:p w14:paraId="3FCE64DA" w14:textId="6BFFC2DA" w:rsidR="00733E2A" w:rsidRDefault="00733E2A" w:rsidP="00B732FB">
      <w:pPr>
        <w:rPr>
          <w:b/>
          <w:bCs/>
          <w:sz w:val="28"/>
          <w:szCs w:val="28"/>
        </w:rPr>
      </w:pPr>
    </w:p>
    <w:p w14:paraId="4DE32639" w14:textId="1E3E2A75" w:rsidR="00733E2A" w:rsidRDefault="00733E2A" w:rsidP="00B732FB">
      <w:pPr>
        <w:rPr>
          <w:b/>
          <w:bCs/>
          <w:sz w:val="28"/>
          <w:szCs w:val="28"/>
        </w:rPr>
      </w:pPr>
    </w:p>
    <w:p w14:paraId="51EF847F" w14:textId="6CBAEC9A" w:rsidR="00733E2A" w:rsidRDefault="00733E2A" w:rsidP="00B732FB">
      <w:pPr>
        <w:rPr>
          <w:b/>
          <w:bCs/>
          <w:sz w:val="28"/>
          <w:szCs w:val="28"/>
        </w:rPr>
      </w:pPr>
    </w:p>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lastRenderedPageBreak/>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27D4269E" w14:textId="11410B9E" w:rsidR="00C361EF" w:rsidRDefault="00C361EF">
      <w:pPr>
        <w:rPr>
          <w:b/>
          <w:bCs/>
          <w:sz w:val="28"/>
          <w:szCs w:val="28"/>
        </w:rPr>
      </w:pPr>
    </w:p>
    <w:p w14:paraId="07675BE8" w14:textId="233D8CE7" w:rsidR="00FA511D" w:rsidRDefault="00FA511D">
      <w:pPr>
        <w:rPr>
          <w:b/>
          <w:bCs/>
          <w:sz w:val="28"/>
          <w:szCs w:val="28"/>
        </w:rPr>
      </w:pPr>
    </w:p>
    <w:p w14:paraId="73A1BE88" w14:textId="43170B25" w:rsidR="00FA511D" w:rsidRDefault="00B732FB">
      <w:pPr>
        <w:rPr>
          <w:b/>
          <w:bCs/>
          <w:sz w:val="28"/>
          <w:szCs w:val="28"/>
        </w:rPr>
      </w:pPr>
      <w:r>
        <w:rPr>
          <w:b/>
          <w:bCs/>
          <w:sz w:val="28"/>
          <w:szCs w:val="28"/>
        </w:rPr>
        <w:br w:type="page"/>
      </w:r>
    </w:p>
    <w:p w14:paraId="32529121" w14:textId="77777777" w:rsidR="00FA511D" w:rsidRDefault="00FA511D">
      <w:pPr>
        <w:rPr>
          <w:b/>
          <w:bCs/>
          <w:sz w:val="28"/>
          <w:szCs w:val="28"/>
        </w:rPr>
      </w:pPr>
    </w:p>
    <w:p w14:paraId="412FA2AB" w14:textId="61C5777E" w:rsidR="005F693E" w:rsidRDefault="005F693E" w:rsidP="00911D3A">
      <w:pPr>
        <w:pStyle w:val="Heading1"/>
      </w:pPr>
      <w:bookmarkStart w:id="13" w:name="_Toc91758594"/>
      <w:r w:rsidRPr="002D3E77">
        <w:t xml:space="preserve">Izmaiņas Manipulāciju sarakstā </w:t>
      </w:r>
      <w:r w:rsidR="00211076">
        <w:t>no</w:t>
      </w:r>
      <w:r w:rsidRPr="002D3E77">
        <w:t xml:space="preserve"> 11.08.2021.</w:t>
      </w:r>
      <w:bookmarkEnd w:id="13"/>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D5574D">
        <w:trPr>
          <w:trHeight w:val="204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00510654" w:rsidR="00911D3A" w:rsidRDefault="00911D3A"/>
    <w:p w14:paraId="3F6C84BB" w14:textId="77777777" w:rsidR="00FA511D" w:rsidRDefault="00FA511D"/>
    <w:p w14:paraId="394DC9A0" w14:textId="0C38A88C" w:rsidR="00D5574D" w:rsidRDefault="00D5574D" w:rsidP="00911D3A">
      <w:pPr>
        <w:pStyle w:val="Heading1"/>
      </w:pPr>
      <w:bookmarkStart w:id="14" w:name="_Toc91758595"/>
      <w:r w:rsidRPr="00726321">
        <w:t xml:space="preserve">Izmaiņas Manipulāciju sarakstā </w:t>
      </w:r>
      <w:r w:rsidR="00211076">
        <w:t>no</w:t>
      </w:r>
      <w:r w:rsidRPr="00726321">
        <w:t xml:space="preserve"> 12.07.2021.</w:t>
      </w:r>
      <w:bookmarkEnd w:id="14"/>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w:t>
            </w:r>
            <w:r w:rsidRPr="00D5574D">
              <w:rPr>
                <w:sz w:val="18"/>
                <w:szCs w:val="18"/>
              </w:rPr>
              <w:lastRenderedPageBreak/>
              <w:t xml:space="preserve">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lastRenderedPageBreak/>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lastRenderedPageBreak/>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lastRenderedPageBreak/>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15" w:name="_Toc91758596"/>
      <w:bookmarkStart w:id="16" w:name="_Hlk67575057"/>
      <w:r>
        <w:lastRenderedPageBreak/>
        <w:t>Izmaiņas Manipulāciju sarakstā ar 01.07.2021.</w:t>
      </w:r>
      <w:bookmarkEnd w:id="15"/>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17"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17"/>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18" w:name="_Toc91758597"/>
      <w:r w:rsidRPr="00B00D7E">
        <w:lastRenderedPageBreak/>
        <w:t>Izmaiņas Manipulāciju sarakstā ar 01.0</w:t>
      </w:r>
      <w:r>
        <w:t>6</w:t>
      </w:r>
      <w:r w:rsidRPr="00B00D7E">
        <w:t>.2021.</w:t>
      </w:r>
      <w:bookmarkEnd w:id="18"/>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19" w:name="_Toc91758598"/>
      <w:r>
        <w:t xml:space="preserve">Izmaiņas </w:t>
      </w:r>
      <w:r w:rsidRPr="0047385B">
        <w:t>Manipulāciju sarakst</w:t>
      </w:r>
      <w:r>
        <w:t>ā</w:t>
      </w:r>
      <w:r w:rsidRPr="0047385B">
        <w:t xml:space="preserve"> ar </w:t>
      </w:r>
      <w:r>
        <w:t>01.05</w:t>
      </w:r>
      <w:r w:rsidRPr="0047385B">
        <w:t>.2021.</w:t>
      </w:r>
      <w:bookmarkEnd w:id="19"/>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20"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20"/>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6DB922C2" w:rsidR="001D183E" w:rsidRDefault="001D183E" w:rsidP="001D183E">
      <w:pPr>
        <w:pStyle w:val="Heading1"/>
      </w:pPr>
      <w:bookmarkStart w:id="21" w:name="_Toc91758599"/>
      <w:r>
        <w:lastRenderedPageBreak/>
        <w:t>Izmaiņas M</w:t>
      </w:r>
      <w:r w:rsidRPr="0047385B">
        <w:t>anipulāciju sarak</w:t>
      </w:r>
      <w:r>
        <w:t xml:space="preserve">stā </w:t>
      </w:r>
      <w:r w:rsidRPr="0047385B">
        <w:t>ar 22.02.2021.</w:t>
      </w:r>
      <w:bookmarkEnd w:id="21"/>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22"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22"/>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23" w:name="_Toc91758600"/>
      <w:r w:rsidRPr="00C64471">
        <w:t>Izmaiņas Manipulāciju sarakstā no 19.04.2021</w:t>
      </w:r>
      <w:r>
        <w:t>.</w:t>
      </w:r>
      <w:bookmarkEnd w:id="23"/>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24" w:name="_Toc91758601"/>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25" w:name="_Hlk69472003"/>
      <w:bookmarkEnd w:id="24"/>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6"/>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26"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26"/>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27"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27"/>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25"/>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28" w:name="_Toc91758602"/>
      <w:r>
        <w:t>Izmaiņas Manipulāciju sarakstā no</w:t>
      </w:r>
      <w:r w:rsidRPr="00313352">
        <w:t xml:space="preserve"> 01.01.2021.</w:t>
      </w:r>
      <w:bookmarkEnd w:id="28"/>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29" w:name="_Toc91758603"/>
      <w:r w:rsidRPr="00525897">
        <w:lastRenderedPageBreak/>
        <w:t>Izmaiņas Manipulāciju sarakstā no 01.10.2020</w:t>
      </w:r>
      <w:bookmarkEnd w:id="29"/>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75464C39" w:rsidR="006D4FCE" w:rsidRPr="006D4FCE" w:rsidRDefault="001D6937" w:rsidP="006D4FCE">
      <w:pPr>
        <w:pStyle w:val="Heading1"/>
        <w:rPr>
          <w:sz w:val="32"/>
          <w:szCs w:val="32"/>
        </w:rPr>
      </w:pPr>
      <w:bookmarkStart w:id="30" w:name="_Toc91758604"/>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30"/>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31" w:name="_Toc91758605"/>
      <w:r w:rsidRPr="00084AE1">
        <w:lastRenderedPageBreak/>
        <w:t>Izmaiņas Manipulāciju sarakstā no 01.04.2020</w:t>
      </w:r>
      <w:bookmarkEnd w:id="31"/>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32" w:name="_Toc91758606"/>
      <w:r>
        <w:lastRenderedPageBreak/>
        <w:t>Izmaiņas Manipulāciju sarakstā no 01.01.2020.</w:t>
      </w:r>
      <w:bookmarkEnd w:id="32"/>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33" w:name="_Toc91758607"/>
      <w:r>
        <w:lastRenderedPageBreak/>
        <w:t>Izmaiņas Manipulāciju sarakstā no 01.10.2019</w:t>
      </w:r>
      <w:bookmarkEnd w:id="33"/>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34" w:name="_Toc91758608"/>
      <w:r>
        <w:lastRenderedPageBreak/>
        <w:t>Izmaiņas Manipulāciju sarakstā no 12.08.2019</w:t>
      </w:r>
      <w:bookmarkEnd w:id="34"/>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35" w:name="_Toc91758609"/>
      <w:r>
        <w:lastRenderedPageBreak/>
        <w:t>Izmaiņas Manipulāciju sarakstā no 12.04.2019</w:t>
      </w:r>
      <w:bookmarkEnd w:id="35"/>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36" w:name="_Toc91758610"/>
      <w:r>
        <w:lastRenderedPageBreak/>
        <w:t>Izmaiņas Manipulāciju sarakstā no 01.04.2019</w:t>
      </w:r>
      <w:bookmarkEnd w:id="36"/>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37" w:name="_Toc91758611"/>
      <w:r>
        <w:lastRenderedPageBreak/>
        <w:t>Izmaiņas Manipulāciju sarakstā no 11.02.2019</w:t>
      </w:r>
      <w:bookmarkEnd w:id="37"/>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38" w:name="_Toc91758612"/>
      <w:r>
        <w:lastRenderedPageBreak/>
        <w:t>Izmaiņas Manipulāciju sarakstā no 01.01.2019</w:t>
      </w:r>
      <w:bookmarkEnd w:id="38"/>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39" w:name="_Toc91758613"/>
      <w:r>
        <w:lastRenderedPageBreak/>
        <w:t>Izmaiņas Manipulāciju sarakstā no 23.10.2018</w:t>
      </w:r>
      <w:bookmarkEnd w:id="39"/>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40" w:name="_Toc91758614"/>
      <w:r>
        <w:lastRenderedPageBreak/>
        <w:t>Izmaiņas Manipulāciju sarakstā no 01.09.2018</w:t>
      </w:r>
      <w:bookmarkEnd w:id="40"/>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49FA" w14:textId="77777777" w:rsidR="0049260D" w:rsidRDefault="0049260D">
      <w:r>
        <w:separator/>
      </w:r>
    </w:p>
  </w:endnote>
  <w:endnote w:type="continuationSeparator" w:id="0">
    <w:p w14:paraId="5DF367F3" w14:textId="77777777" w:rsidR="0049260D" w:rsidRDefault="0049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2C5A" w14:textId="77777777" w:rsidR="0049260D" w:rsidRDefault="0049260D">
      <w:r>
        <w:separator/>
      </w:r>
    </w:p>
  </w:footnote>
  <w:footnote w:type="continuationSeparator" w:id="0">
    <w:p w14:paraId="50CDAB68" w14:textId="77777777" w:rsidR="0049260D" w:rsidRDefault="0049260D">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2"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5"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27"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9"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1"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34"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6"/>
  </w:num>
  <w:num w:numId="3">
    <w:abstractNumId w:val="11"/>
  </w:num>
  <w:num w:numId="4">
    <w:abstractNumId w:val="30"/>
  </w:num>
  <w:num w:numId="5">
    <w:abstractNumId w:val="33"/>
  </w:num>
  <w:num w:numId="6">
    <w:abstractNumId w:val="28"/>
  </w:num>
  <w:num w:numId="7">
    <w:abstractNumId w:val="4"/>
  </w:num>
  <w:num w:numId="8">
    <w:abstractNumId w:val="18"/>
  </w:num>
  <w:num w:numId="9">
    <w:abstractNumId w:val="14"/>
  </w:num>
  <w:num w:numId="10">
    <w:abstractNumId w:val="7"/>
  </w:num>
  <w:num w:numId="11">
    <w:abstractNumId w:val="2"/>
  </w:num>
  <w:num w:numId="12">
    <w:abstractNumId w:val="1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4"/>
  </w:num>
  <w:num w:numId="16">
    <w:abstractNumId w:val="19"/>
  </w:num>
  <w:num w:numId="17">
    <w:abstractNumId w:val="5"/>
  </w:num>
  <w:num w:numId="18">
    <w:abstractNumId w:val="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9"/>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5"/>
  </w:num>
  <w:num w:numId="29">
    <w:abstractNumId w:val="27"/>
  </w:num>
  <w:num w:numId="30">
    <w:abstractNumId w:val="36"/>
  </w:num>
  <w:num w:numId="31">
    <w:abstractNumId w:val="17"/>
  </w:num>
  <w:num w:numId="32">
    <w:abstractNumId w:val="20"/>
  </w:num>
  <w:num w:numId="33">
    <w:abstractNumId w:val="22"/>
  </w:num>
  <w:num w:numId="34">
    <w:abstractNumId w:val="32"/>
  </w:num>
  <w:num w:numId="35">
    <w:abstractNumId w:val="40"/>
  </w:num>
  <w:num w:numId="36">
    <w:abstractNumId w:val="16"/>
  </w:num>
  <w:num w:numId="37">
    <w:abstractNumId w:val="37"/>
  </w:num>
  <w:num w:numId="38">
    <w:abstractNumId w:val="3"/>
  </w:num>
  <w:num w:numId="39">
    <w:abstractNumId w:val="21"/>
  </w:num>
  <w:num w:numId="40">
    <w:abstractNumId w:val="12"/>
  </w:num>
  <w:num w:numId="41">
    <w:abstractNumId w:val="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37B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4812"/>
    <w:rsid w:val="00105856"/>
    <w:rsid w:val="00106720"/>
    <w:rsid w:val="00113730"/>
    <w:rsid w:val="0012310A"/>
    <w:rsid w:val="00123702"/>
    <w:rsid w:val="00131EA2"/>
    <w:rsid w:val="00133EAE"/>
    <w:rsid w:val="00141703"/>
    <w:rsid w:val="00143BDD"/>
    <w:rsid w:val="0014506A"/>
    <w:rsid w:val="00150DFA"/>
    <w:rsid w:val="0015257A"/>
    <w:rsid w:val="001542F7"/>
    <w:rsid w:val="00163240"/>
    <w:rsid w:val="00164DD7"/>
    <w:rsid w:val="001673A5"/>
    <w:rsid w:val="001706B5"/>
    <w:rsid w:val="00173977"/>
    <w:rsid w:val="0018048D"/>
    <w:rsid w:val="00181E71"/>
    <w:rsid w:val="00184C7E"/>
    <w:rsid w:val="001910DF"/>
    <w:rsid w:val="00191E53"/>
    <w:rsid w:val="001936A8"/>
    <w:rsid w:val="00193F5F"/>
    <w:rsid w:val="00194B57"/>
    <w:rsid w:val="001953F8"/>
    <w:rsid w:val="001A5802"/>
    <w:rsid w:val="001A5E3C"/>
    <w:rsid w:val="001B000F"/>
    <w:rsid w:val="001B036E"/>
    <w:rsid w:val="001B5D86"/>
    <w:rsid w:val="001B7EBD"/>
    <w:rsid w:val="001C2E22"/>
    <w:rsid w:val="001C31D4"/>
    <w:rsid w:val="001C5AB6"/>
    <w:rsid w:val="001D183E"/>
    <w:rsid w:val="001D538D"/>
    <w:rsid w:val="001D65CE"/>
    <w:rsid w:val="001D6937"/>
    <w:rsid w:val="001D722C"/>
    <w:rsid w:val="001E170A"/>
    <w:rsid w:val="001E74E2"/>
    <w:rsid w:val="001F1DCB"/>
    <w:rsid w:val="001F5E30"/>
    <w:rsid w:val="001F7FAC"/>
    <w:rsid w:val="00201329"/>
    <w:rsid w:val="0020241F"/>
    <w:rsid w:val="00203695"/>
    <w:rsid w:val="002048FC"/>
    <w:rsid w:val="002051D5"/>
    <w:rsid w:val="00211076"/>
    <w:rsid w:val="00211221"/>
    <w:rsid w:val="002114CC"/>
    <w:rsid w:val="00215D08"/>
    <w:rsid w:val="002169B6"/>
    <w:rsid w:val="00221AC1"/>
    <w:rsid w:val="0022295C"/>
    <w:rsid w:val="0022597F"/>
    <w:rsid w:val="00237AD1"/>
    <w:rsid w:val="00240262"/>
    <w:rsid w:val="00244075"/>
    <w:rsid w:val="002458FA"/>
    <w:rsid w:val="002470F5"/>
    <w:rsid w:val="002511F7"/>
    <w:rsid w:val="00255C41"/>
    <w:rsid w:val="00261910"/>
    <w:rsid w:val="00276EF5"/>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7FC2"/>
    <w:rsid w:val="003015CB"/>
    <w:rsid w:val="003123F6"/>
    <w:rsid w:val="00314504"/>
    <w:rsid w:val="00314A36"/>
    <w:rsid w:val="00316767"/>
    <w:rsid w:val="003272A6"/>
    <w:rsid w:val="003312D2"/>
    <w:rsid w:val="00332595"/>
    <w:rsid w:val="00333AD2"/>
    <w:rsid w:val="003352D0"/>
    <w:rsid w:val="003369A3"/>
    <w:rsid w:val="00342C22"/>
    <w:rsid w:val="00344ED4"/>
    <w:rsid w:val="00362650"/>
    <w:rsid w:val="00363973"/>
    <w:rsid w:val="00370DA3"/>
    <w:rsid w:val="003A0CEF"/>
    <w:rsid w:val="003A329E"/>
    <w:rsid w:val="003A5642"/>
    <w:rsid w:val="003A5EC5"/>
    <w:rsid w:val="003A634F"/>
    <w:rsid w:val="003B0515"/>
    <w:rsid w:val="003B187A"/>
    <w:rsid w:val="003B18C7"/>
    <w:rsid w:val="003B5202"/>
    <w:rsid w:val="003C1710"/>
    <w:rsid w:val="003C3CC9"/>
    <w:rsid w:val="003C3DFB"/>
    <w:rsid w:val="003C5142"/>
    <w:rsid w:val="003C7D6F"/>
    <w:rsid w:val="003D2910"/>
    <w:rsid w:val="003D40ED"/>
    <w:rsid w:val="003D418E"/>
    <w:rsid w:val="003D6D12"/>
    <w:rsid w:val="003E0934"/>
    <w:rsid w:val="003E394A"/>
    <w:rsid w:val="003E530D"/>
    <w:rsid w:val="003F4EBE"/>
    <w:rsid w:val="003F7D6E"/>
    <w:rsid w:val="0040117D"/>
    <w:rsid w:val="00401375"/>
    <w:rsid w:val="00404418"/>
    <w:rsid w:val="00404C68"/>
    <w:rsid w:val="00406701"/>
    <w:rsid w:val="00410D5C"/>
    <w:rsid w:val="00411FE7"/>
    <w:rsid w:val="00421312"/>
    <w:rsid w:val="00421673"/>
    <w:rsid w:val="0042278F"/>
    <w:rsid w:val="0042421A"/>
    <w:rsid w:val="00426B8E"/>
    <w:rsid w:val="00426DD0"/>
    <w:rsid w:val="00427C63"/>
    <w:rsid w:val="0044682C"/>
    <w:rsid w:val="0044724C"/>
    <w:rsid w:val="004544EC"/>
    <w:rsid w:val="00457CEE"/>
    <w:rsid w:val="00460D80"/>
    <w:rsid w:val="00471EDA"/>
    <w:rsid w:val="00472229"/>
    <w:rsid w:val="00473282"/>
    <w:rsid w:val="00475D64"/>
    <w:rsid w:val="004768CE"/>
    <w:rsid w:val="004774E8"/>
    <w:rsid w:val="0049260D"/>
    <w:rsid w:val="00496CE2"/>
    <w:rsid w:val="004A0D8E"/>
    <w:rsid w:val="004B1691"/>
    <w:rsid w:val="004B2DC9"/>
    <w:rsid w:val="004B2F84"/>
    <w:rsid w:val="004B32E9"/>
    <w:rsid w:val="004B502F"/>
    <w:rsid w:val="004C1A03"/>
    <w:rsid w:val="004C5460"/>
    <w:rsid w:val="004D1B9D"/>
    <w:rsid w:val="004D2AF5"/>
    <w:rsid w:val="004D569C"/>
    <w:rsid w:val="004D57D6"/>
    <w:rsid w:val="004D61F5"/>
    <w:rsid w:val="00502BB3"/>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A1759"/>
    <w:rsid w:val="005A436A"/>
    <w:rsid w:val="005A5DC5"/>
    <w:rsid w:val="005B2DF2"/>
    <w:rsid w:val="005B4ACC"/>
    <w:rsid w:val="005C363A"/>
    <w:rsid w:val="005C4934"/>
    <w:rsid w:val="005C60BF"/>
    <w:rsid w:val="005D05ED"/>
    <w:rsid w:val="005D2C75"/>
    <w:rsid w:val="005F693E"/>
    <w:rsid w:val="0060143F"/>
    <w:rsid w:val="00602EC6"/>
    <w:rsid w:val="00605A3D"/>
    <w:rsid w:val="00607072"/>
    <w:rsid w:val="0060796B"/>
    <w:rsid w:val="0061295F"/>
    <w:rsid w:val="0061349A"/>
    <w:rsid w:val="0061480A"/>
    <w:rsid w:val="006155B3"/>
    <w:rsid w:val="00615989"/>
    <w:rsid w:val="0062076F"/>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93EEE"/>
    <w:rsid w:val="006A637C"/>
    <w:rsid w:val="006A65C3"/>
    <w:rsid w:val="006A70B1"/>
    <w:rsid w:val="006A73B3"/>
    <w:rsid w:val="006B73A3"/>
    <w:rsid w:val="006C17A3"/>
    <w:rsid w:val="006C1C70"/>
    <w:rsid w:val="006D442F"/>
    <w:rsid w:val="006D4FCE"/>
    <w:rsid w:val="006D6057"/>
    <w:rsid w:val="006D64B9"/>
    <w:rsid w:val="006E2BFB"/>
    <w:rsid w:val="006F223F"/>
    <w:rsid w:val="006F3E00"/>
    <w:rsid w:val="006F5609"/>
    <w:rsid w:val="007011D8"/>
    <w:rsid w:val="00702A6C"/>
    <w:rsid w:val="00703989"/>
    <w:rsid w:val="00712E05"/>
    <w:rsid w:val="00714A1C"/>
    <w:rsid w:val="00722F21"/>
    <w:rsid w:val="00726321"/>
    <w:rsid w:val="007307CA"/>
    <w:rsid w:val="00733001"/>
    <w:rsid w:val="00733E2A"/>
    <w:rsid w:val="00733E4B"/>
    <w:rsid w:val="007409C0"/>
    <w:rsid w:val="00741799"/>
    <w:rsid w:val="00741D9E"/>
    <w:rsid w:val="00745789"/>
    <w:rsid w:val="007464F3"/>
    <w:rsid w:val="007568A9"/>
    <w:rsid w:val="00756FF7"/>
    <w:rsid w:val="0076028D"/>
    <w:rsid w:val="00760461"/>
    <w:rsid w:val="00761E04"/>
    <w:rsid w:val="00762581"/>
    <w:rsid w:val="0076630F"/>
    <w:rsid w:val="00772831"/>
    <w:rsid w:val="00772CC1"/>
    <w:rsid w:val="007756A7"/>
    <w:rsid w:val="00776EA1"/>
    <w:rsid w:val="007802B2"/>
    <w:rsid w:val="007803FA"/>
    <w:rsid w:val="007861AD"/>
    <w:rsid w:val="00786E84"/>
    <w:rsid w:val="00790028"/>
    <w:rsid w:val="007921DF"/>
    <w:rsid w:val="00792EEB"/>
    <w:rsid w:val="0079735A"/>
    <w:rsid w:val="007A18E9"/>
    <w:rsid w:val="007A258C"/>
    <w:rsid w:val="007A3CB6"/>
    <w:rsid w:val="007B18B0"/>
    <w:rsid w:val="007B1C76"/>
    <w:rsid w:val="007B7DA8"/>
    <w:rsid w:val="007C0F34"/>
    <w:rsid w:val="007C392C"/>
    <w:rsid w:val="007C52C3"/>
    <w:rsid w:val="007C55D6"/>
    <w:rsid w:val="007C73DD"/>
    <w:rsid w:val="007D73F9"/>
    <w:rsid w:val="007E1026"/>
    <w:rsid w:val="007E55DE"/>
    <w:rsid w:val="007F02DC"/>
    <w:rsid w:val="007F09E4"/>
    <w:rsid w:val="00806160"/>
    <w:rsid w:val="00806AAB"/>
    <w:rsid w:val="008113E5"/>
    <w:rsid w:val="00811B44"/>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427D"/>
    <w:rsid w:val="008672AB"/>
    <w:rsid w:val="008973F0"/>
    <w:rsid w:val="008A006F"/>
    <w:rsid w:val="008A1972"/>
    <w:rsid w:val="008A45AF"/>
    <w:rsid w:val="008A4F78"/>
    <w:rsid w:val="008A68D7"/>
    <w:rsid w:val="008A6F76"/>
    <w:rsid w:val="008A7000"/>
    <w:rsid w:val="008C41FF"/>
    <w:rsid w:val="008C50F0"/>
    <w:rsid w:val="008C601C"/>
    <w:rsid w:val="008C6907"/>
    <w:rsid w:val="008E06D3"/>
    <w:rsid w:val="008E415C"/>
    <w:rsid w:val="008F231C"/>
    <w:rsid w:val="008F2C3C"/>
    <w:rsid w:val="008F3143"/>
    <w:rsid w:val="00902A60"/>
    <w:rsid w:val="00911C05"/>
    <w:rsid w:val="00911D3A"/>
    <w:rsid w:val="00914863"/>
    <w:rsid w:val="0092069F"/>
    <w:rsid w:val="009230B1"/>
    <w:rsid w:val="00934C7A"/>
    <w:rsid w:val="0094273A"/>
    <w:rsid w:val="00946DD8"/>
    <w:rsid w:val="00950DCA"/>
    <w:rsid w:val="009526FC"/>
    <w:rsid w:val="009551B1"/>
    <w:rsid w:val="009567EE"/>
    <w:rsid w:val="009648CD"/>
    <w:rsid w:val="00971681"/>
    <w:rsid w:val="009733D9"/>
    <w:rsid w:val="00974D40"/>
    <w:rsid w:val="00976DEB"/>
    <w:rsid w:val="00980A5D"/>
    <w:rsid w:val="009838B2"/>
    <w:rsid w:val="009841E3"/>
    <w:rsid w:val="00995677"/>
    <w:rsid w:val="00997838"/>
    <w:rsid w:val="009A1D8C"/>
    <w:rsid w:val="009A615A"/>
    <w:rsid w:val="009A7E8F"/>
    <w:rsid w:val="009B300C"/>
    <w:rsid w:val="009C1A10"/>
    <w:rsid w:val="009C1DF0"/>
    <w:rsid w:val="009C5D16"/>
    <w:rsid w:val="009C75CB"/>
    <w:rsid w:val="009E06B4"/>
    <w:rsid w:val="009E097A"/>
    <w:rsid w:val="009E3619"/>
    <w:rsid w:val="009E6558"/>
    <w:rsid w:val="009F2A39"/>
    <w:rsid w:val="00A0517A"/>
    <w:rsid w:val="00A06AEA"/>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FCA"/>
    <w:rsid w:val="00A6637F"/>
    <w:rsid w:val="00A71410"/>
    <w:rsid w:val="00A71AFA"/>
    <w:rsid w:val="00A72345"/>
    <w:rsid w:val="00A85758"/>
    <w:rsid w:val="00A91139"/>
    <w:rsid w:val="00A91A9E"/>
    <w:rsid w:val="00A95157"/>
    <w:rsid w:val="00A95A8D"/>
    <w:rsid w:val="00AA20D5"/>
    <w:rsid w:val="00AA3DDD"/>
    <w:rsid w:val="00AB0A42"/>
    <w:rsid w:val="00AB220D"/>
    <w:rsid w:val="00AB2999"/>
    <w:rsid w:val="00AB72A7"/>
    <w:rsid w:val="00AC3646"/>
    <w:rsid w:val="00AC443B"/>
    <w:rsid w:val="00AD0DCF"/>
    <w:rsid w:val="00AE1B29"/>
    <w:rsid w:val="00AE1CE8"/>
    <w:rsid w:val="00AE3ABA"/>
    <w:rsid w:val="00AE4BCC"/>
    <w:rsid w:val="00AF083C"/>
    <w:rsid w:val="00AF1E60"/>
    <w:rsid w:val="00AF3666"/>
    <w:rsid w:val="00AF4089"/>
    <w:rsid w:val="00AF6580"/>
    <w:rsid w:val="00B00D7E"/>
    <w:rsid w:val="00B24FB5"/>
    <w:rsid w:val="00B25B23"/>
    <w:rsid w:val="00B34ED4"/>
    <w:rsid w:val="00B42F9E"/>
    <w:rsid w:val="00B46D66"/>
    <w:rsid w:val="00B50780"/>
    <w:rsid w:val="00B562D5"/>
    <w:rsid w:val="00B56663"/>
    <w:rsid w:val="00B67BD6"/>
    <w:rsid w:val="00B732FB"/>
    <w:rsid w:val="00B75CAD"/>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C0449"/>
    <w:rsid w:val="00BC2141"/>
    <w:rsid w:val="00BC2A39"/>
    <w:rsid w:val="00BD5307"/>
    <w:rsid w:val="00BD5706"/>
    <w:rsid w:val="00BE5147"/>
    <w:rsid w:val="00BE57C4"/>
    <w:rsid w:val="00BF146B"/>
    <w:rsid w:val="00BF14BF"/>
    <w:rsid w:val="00BF647B"/>
    <w:rsid w:val="00C064DC"/>
    <w:rsid w:val="00C12897"/>
    <w:rsid w:val="00C1333A"/>
    <w:rsid w:val="00C15184"/>
    <w:rsid w:val="00C20A54"/>
    <w:rsid w:val="00C224DF"/>
    <w:rsid w:val="00C23556"/>
    <w:rsid w:val="00C25355"/>
    <w:rsid w:val="00C30AA9"/>
    <w:rsid w:val="00C31BFB"/>
    <w:rsid w:val="00C356FD"/>
    <w:rsid w:val="00C361EF"/>
    <w:rsid w:val="00C42A60"/>
    <w:rsid w:val="00C456CC"/>
    <w:rsid w:val="00C5091B"/>
    <w:rsid w:val="00C50DD8"/>
    <w:rsid w:val="00C52FDA"/>
    <w:rsid w:val="00C53227"/>
    <w:rsid w:val="00C55637"/>
    <w:rsid w:val="00C56078"/>
    <w:rsid w:val="00C57507"/>
    <w:rsid w:val="00C64471"/>
    <w:rsid w:val="00C65631"/>
    <w:rsid w:val="00C807B7"/>
    <w:rsid w:val="00C8083D"/>
    <w:rsid w:val="00C85E27"/>
    <w:rsid w:val="00C91F49"/>
    <w:rsid w:val="00C9465C"/>
    <w:rsid w:val="00CA31F9"/>
    <w:rsid w:val="00CA3A7D"/>
    <w:rsid w:val="00CA63AC"/>
    <w:rsid w:val="00CB084F"/>
    <w:rsid w:val="00CB5E49"/>
    <w:rsid w:val="00CB7C7D"/>
    <w:rsid w:val="00CC1638"/>
    <w:rsid w:val="00CC27E8"/>
    <w:rsid w:val="00CC3F29"/>
    <w:rsid w:val="00CD1055"/>
    <w:rsid w:val="00CD35F5"/>
    <w:rsid w:val="00CD65F9"/>
    <w:rsid w:val="00CD7786"/>
    <w:rsid w:val="00CE1417"/>
    <w:rsid w:val="00CE2C28"/>
    <w:rsid w:val="00CE38B1"/>
    <w:rsid w:val="00CE4C4D"/>
    <w:rsid w:val="00CF13A4"/>
    <w:rsid w:val="00CF59EC"/>
    <w:rsid w:val="00D03769"/>
    <w:rsid w:val="00D13379"/>
    <w:rsid w:val="00D1495C"/>
    <w:rsid w:val="00D20FC4"/>
    <w:rsid w:val="00D22EB0"/>
    <w:rsid w:val="00D269E2"/>
    <w:rsid w:val="00D32000"/>
    <w:rsid w:val="00D37147"/>
    <w:rsid w:val="00D40074"/>
    <w:rsid w:val="00D44361"/>
    <w:rsid w:val="00D44BD9"/>
    <w:rsid w:val="00D46388"/>
    <w:rsid w:val="00D5001C"/>
    <w:rsid w:val="00D50723"/>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F13"/>
    <w:rsid w:val="00DD041E"/>
    <w:rsid w:val="00DE0E8E"/>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472CC"/>
    <w:rsid w:val="00E47BE8"/>
    <w:rsid w:val="00E575FD"/>
    <w:rsid w:val="00E6217A"/>
    <w:rsid w:val="00E6225E"/>
    <w:rsid w:val="00E64055"/>
    <w:rsid w:val="00E70543"/>
    <w:rsid w:val="00E71BE8"/>
    <w:rsid w:val="00E75E5B"/>
    <w:rsid w:val="00E76502"/>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255B9"/>
    <w:rsid w:val="00F37725"/>
    <w:rsid w:val="00F40618"/>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475</Pages>
  <Words>508089</Words>
  <Characters>289611</Characters>
  <Application>Microsoft Office Word</Application>
  <DocSecurity>0</DocSecurity>
  <Lines>2413</Lines>
  <Paragraphs>1592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796108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Aija Škutāne</cp:lastModifiedBy>
  <cp:revision>27</cp:revision>
  <cp:lastPrinted>2021-05-21T07:30:00Z</cp:lastPrinted>
  <dcterms:created xsi:type="dcterms:W3CDTF">2021-12-30T08:46:00Z</dcterms:created>
  <dcterms:modified xsi:type="dcterms:W3CDTF">2022-01-05T19:26:00Z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