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5E39" w14:textId="6C9BD691" w:rsidR="00606CA8" w:rsidRDefault="00606CA8" w:rsidP="004C3A0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Nacionālais veselības dienests (turpmāk – Dienests) informē, </w:t>
      </w:r>
      <w:r w:rsidRPr="00EB6E10">
        <w:rPr>
          <w:rFonts w:ascii="Times New Roman" w:hAnsi="Times New Roman" w:cs="Times New Roman"/>
          <w:sz w:val="24"/>
          <w:szCs w:val="24"/>
        </w:rPr>
        <w:t xml:space="preserve">ka </w:t>
      </w:r>
      <w:r w:rsidR="000F6B70">
        <w:rPr>
          <w:rFonts w:ascii="Times New Roman" w:hAnsi="Times New Roman" w:cs="Times New Roman"/>
          <w:sz w:val="24"/>
          <w:szCs w:val="24"/>
        </w:rPr>
        <w:t xml:space="preserve">pusaudžu un grūtnieču </w:t>
      </w:r>
      <w:r w:rsidRPr="00EB6E10">
        <w:rPr>
          <w:rFonts w:ascii="Times New Roman" w:hAnsi="Times New Roman" w:cs="Times New Roman"/>
          <w:sz w:val="24"/>
          <w:szCs w:val="24"/>
        </w:rPr>
        <w:t xml:space="preserve">vakcinācijas pret </w:t>
      </w:r>
      <w:r w:rsidR="000F6B70">
        <w:rPr>
          <w:rFonts w:ascii="Times New Roman" w:hAnsi="Times New Roman" w:cs="Times New Roman"/>
          <w:sz w:val="24"/>
          <w:szCs w:val="24"/>
        </w:rPr>
        <w:t xml:space="preserve">garo klepu un zēnu vakcinācija pret CPV </w:t>
      </w:r>
      <w:r w:rsidRPr="00EB6E10">
        <w:rPr>
          <w:rFonts w:ascii="Times New Roman" w:hAnsi="Times New Roman" w:cs="Times New Roman"/>
          <w:sz w:val="24"/>
          <w:szCs w:val="24"/>
        </w:rPr>
        <w:t xml:space="preserve">apmaksa </w:t>
      </w:r>
      <w:r>
        <w:rPr>
          <w:rFonts w:ascii="Times New Roman" w:hAnsi="Times New Roman" w:cs="Times New Roman"/>
          <w:sz w:val="24"/>
          <w:szCs w:val="24"/>
        </w:rPr>
        <w:t xml:space="preserve">ārstniecības iestādēm </w:t>
      </w:r>
      <w:r w:rsidRPr="00EB6E10">
        <w:rPr>
          <w:rFonts w:ascii="Times New Roman" w:hAnsi="Times New Roman" w:cs="Times New Roman"/>
          <w:sz w:val="24"/>
          <w:szCs w:val="24"/>
        </w:rPr>
        <w:t xml:space="preserve">tiks veikta esošā finansējuma ietvaros. </w:t>
      </w:r>
    </w:p>
    <w:p w14:paraId="19657CA5" w14:textId="2D840E79" w:rsidR="00796BDA" w:rsidRDefault="00796BDA" w:rsidP="00796BDA">
      <w:pPr>
        <w:ind w:firstLine="72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Pusaudžu un grūtnieču vakcinācija pret garo klepu tiek nodrošināta ar kombinēto vakcīnu, ar kuru pusaudzis vai grūtniece tiks imunizēti arī pret difteriju un stinguma krampjiem. </w:t>
      </w:r>
    </w:p>
    <w:p w14:paraId="3E2C086E" w14:textId="19D1CB3E" w:rsidR="00796BDA" w:rsidRPr="00796BDA" w:rsidRDefault="00796BDA" w:rsidP="00796BDA">
      <w:pPr>
        <w:ind w:firstLine="72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Grūtniece ir vakcinējama pret garo klepu ar kombinēto vakcīnu, katr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ā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grūtniecības epizodē.</w:t>
      </w:r>
    </w:p>
    <w:p w14:paraId="2D1BE232" w14:textId="0F025A28" w:rsidR="00796BDA" w:rsidRPr="00796BDA" w:rsidRDefault="00796BDA" w:rsidP="00796BDA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Zēnus pret cilvēku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papilomas</w:t>
      </w:r>
      <w:proofErr w:type="spellEnd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FD0B2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ī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rsus</w:t>
      </w:r>
      <w:r w:rsidR="00FD0B2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proofErr w:type="spellEnd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2022. gadā vakcinē 12. gadu vecumā.</w:t>
      </w:r>
      <w:r w:rsidR="00FD0B2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zs</w:t>
      </w:r>
      <w:r w:rsidR="00FD0B2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ā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kot pirmreizējo vakcinācijas kursu pret cilvēka </w:t>
      </w:r>
      <w:proofErr w:type="spellStart"/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papilomas</w:t>
      </w:r>
      <w:proofErr w:type="spellEnd"/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vīrusa infekciju, līdz 15 gadiem, tāpat kā meitenēm, </w:t>
      </w:r>
      <w:r w:rsidR="00FD0B2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zēniem 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 jāsaņem 2. vakcīnas devas</w:t>
      </w:r>
      <w:r w:rsidR="00FD0B2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428006D" w14:textId="3C125555" w:rsidR="00606CA8" w:rsidRDefault="000F6B70" w:rsidP="00FD0B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veiktu korektu pakalpojumu uzskaiti , aizpildot ambulatoros pacienta</w:t>
      </w:r>
      <w:r w:rsidR="004C3A0F">
        <w:rPr>
          <w:rFonts w:ascii="Times New Roman" w:hAnsi="Times New Roman" w:cs="Times New Roman"/>
          <w:sz w:val="24"/>
          <w:szCs w:val="24"/>
        </w:rPr>
        <w:t xml:space="preserve"> talonu lūdzam ievērot zemāk norādītos nosacījumus: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946"/>
      </w:tblGrid>
      <w:tr w:rsidR="00606CA8" w14:paraId="5D181ECC" w14:textId="77777777" w:rsidTr="004C3A0F">
        <w:trPr>
          <w:trHeight w:val="4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1776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D6BF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606CA8" w14:paraId="1C6B7DA2" w14:textId="77777777" w:rsidTr="004C3A0F">
        <w:trPr>
          <w:trHeight w:val="15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7E8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A6B5" w14:textId="77777777" w:rsidR="00606CA8" w:rsidRDefault="006F515D" w:rsidP="009C1B9E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6F515D">
              <w:rPr>
                <w:rFonts w:ascii="Times New Roman" w:hAnsi="Times New Roman" w:cs="Times New Roman"/>
                <w:sz w:val="24"/>
                <w:szCs w:val="24"/>
              </w:rPr>
              <w:t>-Persona, kurai veic vakcināciju normatīvos aktos noteiktā kārtībā</w:t>
            </w:r>
          </w:p>
          <w:p w14:paraId="573B3188" w14:textId="77777777" w:rsidR="006F515D" w:rsidRPr="006F515D" w:rsidRDefault="006F515D" w:rsidP="009C1B9E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Grūtniecēm papildus:</w:t>
            </w:r>
          </w:p>
          <w:p w14:paraId="2332CFCD" w14:textId="77777777" w:rsidR="006F515D" w:rsidRDefault="006F515D" w:rsidP="006D1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15D">
              <w:rPr>
                <w:rFonts w:ascii="Times New Roman" w:hAnsi="Times New Roman" w:cs="Times New Roman"/>
                <w:sz w:val="24"/>
                <w:szCs w:val="24"/>
              </w:rPr>
              <w:t xml:space="preserve">Grūtnieces un sievietes </w:t>
            </w:r>
            <w:proofErr w:type="spellStart"/>
            <w:r w:rsidRPr="006F515D">
              <w:rPr>
                <w:rFonts w:ascii="Times New Roman" w:hAnsi="Times New Roman" w:cs="Times New Roman"/>
                <w:sz w:val="24"/>
                <w:szCs w:val="24"/>
              </w:rPr>
              <w:t>pēcdzemdību</w:t>
            </w:r>
            <w:proofErr w:type="spellEnd"/>
            <w:r w:rsidRPr="006F515D">
              <w:rPr>
                <w:rFonts w:ascii="Times New Roman" w:hAnsi="Times New Roman" w:cs="Times New Roman"/>
                <w:sz w:val="24"/>
                <w:szCs w:val="24"/>
              </w:rPr>
              <w:t xml:space="preserve"> periodā līdz 70 dienām, ja tiek saņemti ārstniecības pakalpojumi, kas saistīti ar grūtniecības un </w:t>
            </w:r>
            <w:proofErr w:type="spellStart"/>
            <w:r w:rsidRPr="006F515D">
              <w:rPr>
                <w:rFonts w:ascii="Times New Roman" w:hAnsi="Times New Roman" w:cs="Times New Roman"/>
                <w:sz w:val="24"/>
                <w:szCs w:val="24"/>
              </w:rPr>
              <w:t>pēcdzemdību</w:t>
            </w:r>
            <w:proofErr w:type="spellEnd"/>
            <w:r w:rsidRPr="006F515D">
              <w:rPr>
                <w:rFonts w:ascii="Times New Roman" w:hAnsi="Times New Roman" w:cs="Times New Roman"/>
                <w:sz w:val="24"/>
                <w:szCs w:val="24"/>
              </w:rPr>
              <w:t xml:space="preserve"> novērošanu un grūtniecības norisi</w:t>
            </w:r>
          </w:p>
          <w:p w14:paraId="3738E30F" w14:textId="013D2EA3" w:rsidR="004C3A0F" w:rsidRPr="006D1E7F" w:rsidRDefault="004C3A0F" w:rsidP="006D1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5D" w14:paraId="04DA23D5" w14:textId="149C9709" w:rsidTr="004C3A0F">
        <w:trPr>
          <w:trHeight w:val="21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8438" w14:textId="66FEEEE4" w:rsidR="006F515D" w:rsidRDefault="006F515D" w:rsidP="009C1B9E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Pamatdiagnozes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42B8F" w14:textId="77777777" w:rsidR="00385240" w:rsidRDefault="006F515D" w:rsidP="000F6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9269425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Vakcinācija pret</w:t>
            </w:r>
            <w:bookmarkEnd w:id="0"/>
            <w:r w:rsidR="003852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garo klepu pusaudžiem, grūtniecēm</w:t>
            </w:r>
            <w:r w:rsidR="003852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(DTP)</w:t>
            </w:r>
          </w:p>
          <w:p w14:paraId="519EE71E" w14:textId="6F5AA1DF" w:rsidR="006F515D" w:rsidRDefault="006F515D" w:rsidP="000F6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Z27.1</w:t>
            </w:r>
            <w:r w:rsidRPr="003A51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3A51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Nepieciešamība imunizēt pret difteriju, </w:t>
            </w:r>
            <w:proofErr w:type="spellStart"/>
            <w:r w:rsidRPr="003A51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tetānu</w:t>
            </w:r>
            <w:proofErr w:type="spellEnd"/>
            <w:r w:rsidRPr="003A51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garo klepu [DTP]</w:t>
            </w:r>
          </w:p>
          <w:p w14:paraId="0300C869" w14:textId="77777777" w:rsidR="004C3A0F" w:rsidRPr="00385240" w:rsidRDefault="004C3A0F" w:rsidP="000F6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49489" w14:textId="5E09CD70" w:rsidR="00385240" w:rsidRDefault="006F515D" w:rsidP="000F6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Zēnu vakcinācija pret cilvēku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papilomas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vīrusu </w:t>
            </w:r>
            <w:r w:rsidR="003852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(CPV)</w:t>
            </w:r>
          </w:p>
          <w:p w14:paraId="7BCBCB64" w14:textId="1BD187DF" w:rsidR="006F515D" w:rsidRPr="003A516C" w:rsidRDefault="006F515D" w:rsidP="000F6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A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Z25.8</w:t>
            </w:r>
            <w:r w:rsidRPr="003A51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852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3A51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Nepieciešamība imunizēt pret citu vienu precizētu </w:t>
            </w:r>
            <w:proofErr w:type="spellStart"/>
            <w:r w:rsidRPr="003A51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vīrusslimību</w:t>
            </w:r>
            <w:proofErr w:type="spellEnd"/>
          </w:p>
          <w:p w14:paraId="565AF275" w14:textId="77777777" w:rsidR="006F515D" w:rsidRDefault="006F515D" w:rsidP="006F51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CA8" w14:paraId="53F155B2" w14:textId="77777777" w:rsidTr="004C3A0F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5541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545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 veic ārsts: 01018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Ārsta apskate pirms vakcinācijas. Nenorāda kopā ar manipulāciju 01061, 60443 un 60444</w:t>
            </w:r>
          </w:p>
        </w:tc>
      </w:tr>
      <w:tr w:rsidR="00606CA8" w14:paraId="7FB92D92" w14:textId="77777777" w:rsidTr="004C3A0F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7F41" w14:textId="77777777" w:rsidR="00606CA8" w:rsidRDefault="00606CA8" w:rsidP="009C1B9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C88A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 veic ārsta palīgs: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Ārsta palīga vai vecmātes veikta apskate pirms vakcinācijas</w:t>
            </w:r>
          </w:p>
        </w:tc>
      </w:tr>
      <w:tr w:rsidR="00606CA8" w14:paraId="575CE7D0" w14:textId="77777777" w:rsidTr="004C3A0F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3944" w14:textId="77777777" w:rsidR="00606CA8" w:rsidRDefault="00606CA8" w:rsidP="009C1B9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0A65" w14:textId="3BD8D4B4" w:rsidR="00B11EFA" w:rsidRPr="00B11EFA" w:rsidRDefault="00B11EFA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1E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Vakcīnu uzskaites manipulācijas:</w:t>
            </w:r>
          </w:p>
          <w:p w14:paraId="24FAA643" w14:textId="73004DBA" w:rsidR="00385240" w:rsidRDefault="00385240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DTP</w:t>
            </w:r>
          </w:p>
          <w:p w14:paraId="6DB2D613" w14:textId="630B7357" w:rsidR="001B2734" w:rsidRPr="001B2734" w:rsidRDefault="001B2734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2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Pusaudžiem:</w:t>
            </w:r>
          </w:p>
          <w:p w14:paraId="6201446F" w14:textId="45862605" w:rsidR="00385240" w:rsidRDefault="00000854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60307-</w:t>
            </w:r>
            <w:r w:rsidRPr="00000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Vakcinācija pret difteriju, 6. pote</w:t>
            </w:r>
          </w:p>
          <w:p w14:paraId="466D5DC4" w14:textId="3801FC1E" w:rsidR="00000854" w:rsidRDefault="006D1E7F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E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60308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6D1E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Vakcinācija pret stinguma krampjiem, 6. pote</w:t>
            </w:r>
          </w:p>
          <w:p w14:paraId="3F31CAE3" w14:textId="04C74B01" w:rsidR="006D1E7F" w:rsidRDefault="00FD0B23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7C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60345</w:t>
            </w:r>
            <w:r w:rsidR="006D1E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6D1E7F" w:rsidRPr="006D1E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Vakcinācija pret garo klepu, </w:t>
            </w:r>
            <w:r w:rsidR="006D1E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6D1E7F" w:rsidRPr="006D1E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pote</w:t>
            </w:r>
          </w:p>
          <w:p w14:paraId="55463447" w14:textId="36A29B82" w:rsidR="004C3A0F" w:rsidRDefault="001B2734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Grūtniecēm:</w:t>
            </w:r>
          </w:p>
          <w:p w14:paraId="547C7306" w14:textId="42BD82FE" w:rsidR="001B2734" w:rsidRPr="001B2734" w:rsidRDefault="001B2734" w:rsidP="001B2734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60316-</w:t>
            </w:r>
            <w:r w:rsidRPr="001B2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Revakcinācija pret difteriju</w:t>
            </w:r>
          </w:p>
          <w:p w14:paraId="45558AEA" w14:textId="4B24904B" w:rsidR="001B2734" w:rsidRDefault="001B2734" w:rsidP="001B2734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E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1B2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Revakcinācija pret stinguma krampjiem</w:t>
            </w:r>
          </w:p>
          <w:p w14:paraId="17348F63" w14:textId="10F2E80F" w:rsidR="001B2734" w:rsidRPr="006D1E7F" w:rsidRDefault="00FD0B23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7C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60345</w:t>
            </w:r>
            <w:r w:rsidR="001B2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1B2734" w:rsidRPr="006D1E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Vakcinācija pret garo klepu, </w:t>
            </w:r>
            <w:r w:rsidR="001B27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1B2734" w:rsidRPr="006D1E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pote</w:t>
            </w:r>
          </w:p>
          <w:p w14:paraId="4EFC6CCA" w14:textId="3D539334" w:rsidR="00606CA8" w:rsidRPr="00B11EFA" w:rsidRDefault="00385240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CPV</w:t>
            </w:r>
            <w:r w:rsidR="00B11E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11EFA" w:rsidRPr="00B11E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norāda atbilstošo potes kārtas nr.</w:t>
            </w:r>
          </w:p>
          <w:p w14:paraId="1C86285E" w14:textId="21D24159" w:rsidR="006D1E7F" w:rsidRDefault="006D1E7F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60335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D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Vakcinācija pret cilvēka </w:t>
            </w:r>
            <w:proofErr w:type="spellStart"/>
            <w:r w:rsidRPr="006D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papilomas</w:t>
            </w:r>
            <w:proofErr w:type="spellEnd"/>
            <w:r w:rsidRPr="006D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vīrusa infekciju, 1. pote</w:t>
            </w:r>
          </w:p>
          <w:p w14:paraId="44E66FD4" w14:textId="449DE496" w:rsidR="00606CA8" w:rsidRDefault="006D1E7F" w:rsidP="00796BD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E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60336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D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Vakcinācija pret cilvēka </w:t>
            </w:r>
            <w:proofErr w:type="spellStart"/>
            <w:r w:rsidRPr="006D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papilomas</w:t>
            </w:r>
            <w:proofErr w:type="spellEnd"/>
            <w:r w:rsidRPr="006D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vīrusa infekciju,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pote</w:t>
            </w:r>
          </w:p>
        </w:tc>
      </w:tr>
      <w:tr w:rsidR="00606CA8" w14:paraId="098011B6" w14:textId="77777777" w:rsidTr="004C3A0F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0190" w14:textId="77777777" w:rsidR="00606CA8" w:rsidRDefault="00606CA8" w:rsidP="009C1B9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B37A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03081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Vakcīnas ievadīšana ādā, zemādā un muskulī</w:t>
            </w:r>
          </w:p>
        </w:tc>
      </w:tr>
      <w:tr w:rsidR="00606CA8" w14:paraId="765301EF" w14:textId="77777777" w:rsidTr="004C3A0F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240C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AB4A" w14:textId="77777777" w:rsidR="00606CA8" w:rsidRDefault="00606CA8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4.aprūpes epizode</w:t>
            </w:r>
          </w:p>
        </w:tc>
      </w:tr>
      <w:tr w:rsidR="006C5933" w14:paraId="2E756AE6" w14:textId="77777777" w:rsidTr="004C3A0F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113F" w14:textId="354B743D" w:rsidR="006C5933" w:rsidRDefault="006C5933" w:rsidP="009C1B9E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Nosūtītājs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8B23" w14:textId="2F606924" w:rsidR="006C5933" w:rsidRDefault="006C5933" w:rsidP="009C1B9E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Norāda pakalpojumu sniedzēju</w:t>
            </w:r>
          </w:p>
        </w:tc>
      </w:tr>
    </w:tbl>
    <w:p w14:paraId="484F807A" w14:textId="77777777" w:rsidR="004C3A0F" w:rsidRDefault="004C3A0F">
      <w:pPr>
        <w:rPr>
          <w:rFonts w:ascii="Times New Roman" w:hAnsi="Times New Roman" w:cs="Times New Roman"/>
          <w:sz w:val="24"/>
          <w:szCs w:val="24"/>
        </w:rPr>
      </w:pPr>
    </w:p>
    <w:p w14:paraId="3FD50BF9" w14:textId="682E03AA" w:rsidR="004C3A0F" w:rsidRDefault="00C23A4C">
      <w:pPr>
        <w:rPr>
          <w:rFonts w:ascii="Times New Roman" w:hAnsi="Times New Roman" w:cs="Times New Roman"/>
          <w:sz w:val="24"/>
          <w:szCs w:val="24"/>
        </w:rPr>
      </w:pPr>
      <w:r w:rsidRPr="004C3A0F">
        <w:rPr>
          <w:rFonts w:ascii="Times New Roman" w:hAnsi="Times New Roman" w:cs="Times New Roman"/>
          <w:sz w:val="24"/>
          <w:szCs w:val="24"/>
        </w:rPr>
        <w:t>Veiktos vakcinācijas faktus var ievadīt e veselībā , ievēr</w:t>
      </w:r>
      <w:r w:rsidR="004C3A0F" w:rsidRPr="004C3A0F">
        <w:rPr>
          <w:rFonts w:ascii="Times New Roman" w:hAnsi="Times New Roman" w:cs="Times New Roman"/>
          <w:sz w:val="24"/>
          <w:szCs w:val="24"/>
        </w:rPr>
        <w:t>o</w:t>
      </w:r>
      <w:r w:rsidRPr="004C3A0F">
        <w:rPr>
          <w:rFonts w:ascii="Times New Roman" w:hAnsi="Times New Roman" w:cs="Times New Roman"/>
          <w:sz w:val="24"/>
          <w:szCs w:val="24"/>
        </w:rPr>
        <w:t xml:space="preserve">jot zemāk norādītos nosacījums. </w:t>
      </w:r>
    </w:p>
    <w:p w14:paraId="2C3AA4D7" w14:textId="22DCAA99" w:rsidR="000B7059" w:rsidRPr="004C3A0F" w:rsidRDefault="00FD0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vakcinācija netiek veikta </w:t>
      </w:r>
      <w:r w:rsidR="00C23A4C" w:rsidRPr="004C3A0F">
        <w:rPr>
          <w:rFonts w:ascii="Times New Roman" w:hAnsi="Times New Roman" w:cs="Times New Roman"/>
          <w:sz w:val="24"/>
          <w:szCs w:val="24"/>
        </w:rPr>
        <w:t xml:space="preserve"> ģimenes ā</w:t>
      </w:r>
      <w:r w:rsidR="004C3A0F" w:rsidRPr="004C3A0F">
        <w:rPr>
          <w:rFonts w:ascii="Times New Roman" w:hAnsi="Times New Roman" w:cs="Times New Roman"/>
          <w:sz w:val="24"/>
          <w:szCs w:val="24"/>
        </w:rPr>
        <w:t>rs</w:t>
      </w:r>
      <w:r w:rsidR="00C23A4C" w:rsidRPr="004C3A0F">
        <w:rPr>
          <w:rFonts w:ascii="Times New Roman" w:hAnsi="Times New Roman" w:cs="Times New Roman"/>
          <w:sz w:val="24"/>
          <w:szCs w:val="24"/>
        </w:rPr>
        <w:t>tu praks</w:t>
      </w:r>
      <w:r>
        <w:rPr>
          <w:rFonts w:ascii="Times New Roman" w:hAnsi="Times New Roman" w:cs="Times New Roman"/>
          <w:sz w:val="24"/>
          <w:szCs w:val="24"/>
        </w:rPr>
        <w:t xml:space="preserve">ē, </w:t>
      </w:r>
      <w:r w:rsidR="00C23A4C" w:rsidRPr="004C3A0F">
        <w:rPr>
          <w:rFonts w:ascii="Times New Roman" w:hAnsi="Times New Roman" w:cs="Times New Roman"/>
          <w:sz w:val="24"/>
          <w:szCs w:val="24"/>
        </w:rPr>
        <w:t xml:space="preserve"> visi dati par veiktām vakcin</w:t>
      </w:r>
      <w:r w:rsidR="004C3A0F" w:rsidRPr="004C3A0F">
        <w:rPr>
          <w:rFonts w:ascii="Times New Roman" w:hAnsi="Times New Roman" w:cs="Times New Roman"/>
          <w:sz w:val="24"/>
          <w:szCs w:val="24"/>
        </w:rPr>
        <w:t>ā</w:t>
      </w:r>
      <w:r w:rsidR="00C23A4C" w:rsidRPr="004C3A0F">
        <w:rPr>
          <w:rFonts w:ascii="Times New Roman" w:hAnsi="Times New Roman" w:cs="Times New Roman"/>
          <w:sz w:val="24"/>
          <w:szCs w:val="24"/>
        </w:rPr>
        <w:t>cijām</w:t>
      </w:r>
      <w:r w:rsidR="004C3A0F">
        <w:rPr>
          <w:rFonts w:ascii="Times New Roman" w:hAnsi="Times New Roman" w:cs="Times New Roman"/>
          <w:sz w:val="24"/>
          <w:szCs w:val="24"/>
        </w:rPr>
        <w:t xml:space="preserve"> ir </w:t>
      </w:r>
      <w:r w:rsidR="00C23A4C" w:rsidRPr="004C3A0F">
        <w:rPr>
          <w:rFonts w:ascii="Times New Roman" w:hAnsi="Times New Roman" w:cs="Times New Roman"/>
          <w:sz w:val="24"/>
          <w:szCs w:val="24"/>
        </w:rPr>
        <w:t xml:space="preserve"> </w:t>
      </w:r>
      <w:r w:rsidR="004C3A0F" w:rsidRPr="004C3A0F">
        <w:rPr>
          <w:rFonts w:ascii="Times New Roman" w:hAnsi="Times New Roman" w:cs="Times New Roman"/>
          <w:sz w:val="24"/>
          <w:szCs w:val="24"/>
        </w:rPr>
        <w:t xml:space="preserve"> </w:t>
      </w:r>
      <w:r w:rsidR="00C23A4C" w:rsidRPr="004C3A0F">
        <w:rPr>
          <w:rFonts w:ascii="Times New Roman" w:hAnsi="Times New Roman" w:cs="Times New Roman"/>
          <w:sz w:val="24"/>
          <w:szCs w:val="24"/>
        </w:rPr>
        <w:t>jāievada e veselībā.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11EFA" w14:paraId="23874AFA" w14:textId="77777777" w:rsidTr="00B11EFA">
        <w:tc>
          <w:tcPr>
            <w:tcW w:w="2765" w:type="dxa"/>
          </w:tcPr>
          <w:p w14:paraId="2FF1AE98" w14:textId="477FB739" w:rsidR="00B11EFA" w:rsidRPr="00B11EFA" w:rsidRDefault="00B1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Vakcinācijas fakta lauks</w:t>
            </w:r>
          </w:p>
        </w:tc>
        <w:tc>
          <w:tcPr>
            <w:tcW w:w="2765" w:type="dxa"/>
          </w:tcPr>
          <w:p w14:paraId="65C3CD3D" w14:textId="28AC6C0E" w:rsidR="00B11EFA" w:rsidRPr="00B11EFA" w:rsidRDefault="00B1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DTP</w:t>
            </w:r>
          </w:p>
        </w:tc>
        <w:tc>
          <w:tcPr>
            <w:tcW w:w="2766" w:type="dxa"/>
          </w:tcPr>
          <w:p w14:paraId="23A59D11" w14:textId="2B7D0231" w:rsidR="00B11EFA" w:rsidRPr="00B11EFA" w:rsidRDefault="00B11E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CPV</w:t>
            </w:r>
          </w:p>
        </w:tc>
      </w:tr>
      <w:tr w:rsidR="00B11EFA" w14:paraId="6DDBE48D" w14:textId="77777777" w:rsidTr="00C23A4C">
        <w:trPr>
          <w:trHeight w:val="419"/>
        </w:trPr>
        <w:tc>
          <w:tcPr>
            <w:tcW w:w="2765" w:type="dxa"/>
          </w:tcPr>
          <w:p w14:paraId="18541C55" w14:textId="04A20118" w:rsidR="00B11EFA" w:rsidRPr="00C23A4C" w:rsidRDefault="00B11E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Vakcīna</w:t>
            </w:r>
          </w:p>
        </w:tc>
        <w:tc>
          <w:tcPr>
            <w:tcW w:w="2765" w:type="dxa"/>
          </w:tcPr>
          <w:p w14:paraId="6DCFB59A" w14:textId="7A0EC54B" w:rsidR="00B11EFA" w:rsidRPr="00C23A4C" w:rsidRDefault="006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sz w:val="24"/>
                <w:szCs w:val="24"/>
              </w:rPr>
              <w:t>DTP</w:t>
            </w:r>
          </w:p>
        </w:tc>
        <w:tc>
          <w:tcPr>
            <w:tcW w:w="2766" w:type="dxa"/>
          </w:tcPr>
          <w:p w14:paraId="5476D526" w14:textId="26779F54" w:rsidR="00B11EFA" w:rsidRPr="00C23A4C" w:rsidRDefault="0005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sz w:val="24"/>
                <w:szCs w:val="24"/>
              </w:rPr>
              <w:t>CPV9</w:t>
            </w:r>
          </w:p>
        </w:tc>
      </w:tr>
      <w:tr w:rsidR="00B11EFA" w14:paraId="3CE8DC56" w14:textId="77777777" w:rsidTr="00B11EFA">
        <w:tc>
          <w:tcPr>
            <w:tcW w:w="2765" w:type="dxa"/>
          </w:tcPr>
          <w:p w14:paraId="27DBD595" w14:textId="1A59B1E0" w:rsidR="00B11EFA" w:rsidRPr="00C23A4C" w:rsidRDefault="006343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Infekcija</w:t>
            </w:r>
          </w:p>
        </w:tc>
        <w:tc>
          <w:tcPr>
            <w:tcW w:w="2765" w:type="dxa"/>
          </w:tcPr>
          <w:p w14:paraId="379D7F62" w14:textId="182BFD5D" w:rsidR="00B11EFA" w:rsidRPr="00C23A4C" w:rsidRDefault="006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sz w:val="24"/>
                <w:szCs w:val="24"/>
              </w:rPr>
              <w:t>Difterija, garais klepus, stinguma k</w:t>
            </w:r>
            <w:r w:rsidR="00052680" w:rsidRPr="00C23A4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C23A4C">
              <w:rPr>
                <w:rFonts w:ascii="Times New Roman" w:hAnsi="Times New Roman" w:cs="Times New Roman"/>
                <w:sz w:val="24"/>
                <w:szCs w:val="24"/>
              </w:rPr>
              <w:t>mpj</w:t>
            </w:r>
            <w:r w:rsidR="00052680" w:rsidRPr="00C23A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66" w:type="dxa"/>
          </w:tcPr>
          <w:p w14:paraId="302CACAB" w14:textId="44A6F9D0" w:rsidR="00B11EFA" w:rsidRPr="00C23A4C" w:rsidRDefault="0005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sz w:val="24"/>
                <w:szCs w:val="24"/>
              </w:rPr>
              <w:t xml:space="preserve">Cilvēka </w:t>
            </w:r>
            <w:proofErr w:type="spellStart"/>
            <w:r w:rsidRPr="00C23A4C">
              <w:rPr>
                <w:rFonts w:ascii="Times New Roman" w:hAnsi="Times New Roman" w:cs="Times New Roman"/>
                <w:sz w:val="24"/>
                <w:szCs w:val="24"/>
              </w:rPr>
              <w:t>papilomas</w:t>
            </w:r>
            <w:proofErr w:type="spellEnd"/>
            <w:r w:rsidRPr="00C23A4C">
              <w:rPr>
                <w:rFonts w:ascii="Times New Roman" w:hAnsi="Times New Roman" w:cs="Times New Roman"/>
                <w:sz w:val="24"/>
                <w:szCs w:val="24"/>
              </w:rPr>
              <w:t xml:space="preserve"> vīrusa infekcija</w:t>
            </w:r>
          </w:p>
        </w:tc>
      </w:tr>
      <w:tr w:rsidR="006D68F7" w14:paraId="045B5E57" w14:textId="77777777" w:rsidTr="00B11EFA">
        <w:tc>
          <w:tcPr>
            <w:tcW w:w="2765" w:type="dxa"/>
          </w:tcPr>
          <w:p w14:paraId="4C599C45" w14:textId="521B939F" w:rsidR="006D68F7" w:rsidRPr="00C23A4C" w:rsidRDefault="006D68F7" w:rsidP="006D68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Preparāts</w:t>
            </w:r>
          </w:p>
        </w:tc>
        <w:tc>
          <w:tcPr>
            <w:tcW w:w="2765" w:type="dxa"/>
          </w:tcPr>
          <w:p w14:paraId="17724204" w14:textId="77777777" w:rsidR="006D68F7" w:rsidRPr="00C23A4C" w:rsidRDefault="006D68F7" w:rsidP="006D68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23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Adacel</w:t>
            </w:r>
            <w:proofErr w:type="spellEnd"/>
            <w:r w:rsidRPr="00C23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suspensija injekcijām </w:t>
            </w:r>
            <w:proofErr w:type="spellStart"/>
            <w:r w:rsidRPr="00C23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pilnšlircē</w:t>
            </w:r>
            <w:proofErr w:type="spellEnd"/>
            <w:r w:rsidRPr="00C23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4CCD26B" w14:textId="5D93851D" w:rsidR="006D68F7" w:rsidRPr="00C23A4C" w:rsidRDefault="006D68F7" w:rsidP="006D6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2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16-0098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</w:tcPr>
          <w:p w14:paraId="60B1140F" w14:textId="40230FA9" w:rsidR="006D68F7" w:rsidRPr="00CD0272" w:rsidRDefault="006D68F7" w:rsidP="006D68F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3A4C">
              <w:rPr>
                <w:rFonts w:ascii="Times New Roman" w:hAnsi="Times New Roman" w:cs="Times New Roman"/>
                <w:sz w:val="24"/>
                <w:szCs w:val="24"/>
              </w:rPr>
              <w:t>Gardasil</w:t>
            </w:r>
            <w:proofErr w:type="spellEnd"/>
            <w:r w:rsidRPr="00C23A4C">
              <w:rPr>
                <w:rFonts w:ascii="Times New Roman" w:hAnsi="Times New Roman" w:cs="Times New Roman"/>
                <w:sz w:val="24"/>
                <w:szCs w:val="24"/>
              </w:rPr>
              <w:t xml:space="preserve"> 9, EU/1/15/1007/</w:t>
            </w:r>
            <w:r w:rsidRPr="00FD0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002</w:t>
            </w:r>
          </w:p>
        </w:tc>
      </w:tr>
      <w:tr w:rsidR="00B11EFA" w14:paraId="0C800548" w14:textId="77777777" w:rsidTr="00B11EFA">
        <w:tc>
          <w:tcPr>
            <w:tcW w:w="2765" w:type="dxa"/>
          </w:tcPr>
          <w:p w14:paraId="403EEFBF" w14:textId="5FAC21EC" w:rsidR="00B11EFA" w:rsidRPr="00C23A4C" w:rsidRDefault="006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i/>
                <w:iCs/>
              </w:rPr>
              <w:t>Potes/ Devas kārtas numurs</w:t>
            </w:r>
            <w:r w:rsidRPr="00C23A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5" w:type="dxa"/>
          </w:tcPr>
          <w:p w14:paraId="49803872" w14:textId="712BB444" w:rsidR="00B11EFA" w:rsidRPr="00C23A4C" w:rsidRDefault="006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2734">
              <w:rPr>
                <w:rFonts w:ascii="Times New Roman" w:hAnsi="Times New Roman" w:cs="Times New Roman"/>
                <w:sz w:val="24"/>
                <w:szCs w:val="24"/>
              </w:rPr>
              <w:t xml:space="preserve"> , grūtniecēm -7</w:t>
            </w:r>
          </w:p>
        </w:tc>
        <w:tc>
          <w:tcPr>
            <w:tcW w:w="2766" w:type="dxa"/>
          </w:tcPr>
          <w:p w14:paraId="570240E2" w14:textId="272B5663" w:rsidR="00B11EFA" w:rsidRPr="00C23A4C" w:rsidRDefault="0063439C" w:rsidP="0063439C">
            <w:pPr>
              <w:pStyle w:val="xxxmsonormal"/>
              <w:textAlignment w:val="baseline"/>
              <w:rPr>
                <w:rFonts w:ascii="Times New Roman" w:hAnsi="Times New Roman" w:cs="Times New Roman"/>
              </w:rPr>
            </w:pPr>
            <w:r w:rsidRPr="00C23A4C">
              <w:rPr>
                <w:rFonts w:ascii="Times New Roman" w:hAnsi="Times New Roman" w:cs="Times New Roman"/>
              </w:rPr>
              <w:t>Norāda atbilstošo -1/ 2</w:t>
            </w:r>
          </w:p>
        </w:tc>
      </w:tr>
      <w:tr w:rsidR="00B11EFA" w14:paraId="7C057148" w14:textId="77777777" w:rsidTr="00B11EFA">
        <w:tc>
          <w:tcPr>
            <w:tcW w:w="2765" w:type="dxa"/>
          </w:tcPr>
          <w:p w14:paraId="26575334" w14:textId="3C0AB85C" w:rsidR="00B11EFA" w:rsidRPr="00C23A4C" w:rsidRDefault="006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  <w:i/>
                <w:iCs/>
              </w:rPr>
              <w:t>Vakcinācijas procesa posms</w:t>
            </w:r>
            <w:r w:rsidRPr="00C23A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5" w:type="dxa"/>
          </w:tcPr>
          <w:p w14:paraId="56CFE973" w14:textId="77777777" w:rsidR="00B11EFA" w:rsidRDefault="0063439C">
            <w:pPr>
              <w:rPr>
                <w:rFonts w:ascii="Times New Roman" w:hAnsi="Times New Roman" w:cs="Times New Roman"/>
              </w:rPr>
            </w:pPr>
            <w:r w:rsidRPr="00C23A4C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C23A4C">
              <w:rPr>
                <w:rFonts w:ascii="Times New Roman" w:hAnsi="Times New Roman" w:cs="Times New Roman"/>
              </w:rPr>
              <w:t>balstvakcinācija</w:t>
            </w:r>
            <w:proofErr w:type="spellEnd"/>
            <w:r w:rsidR="001B2734">
              <w:rPr>
                <w:rFonts w:ascii="Times New Roman" w:hAnsi="Times New Roman" w:cs="Times New Roman"/>
              </w:rPr>
              <w:t>;</w:t>
            </w:r>
          </w:p>
          <w:p w14:paraId="7F1FC6A2" w14:textId="2563715A" w:rsidR="001B2734" w:rsidRPr="00C23A4C" w:rsidRDefault="001B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Grūtniecēm – 4. </w:t>
            </w:r>
            <w:proofErr w:type="spellStart"/>
            <w:r>
              <w:rPr>
                <w:rFonts w:ascii="Times New Roman" w:hAnsi="Times New Roman" w:cs="Times New Roman"/>
              </w:rPr>
              <w:t>balstvakcinācija</w:t>
            </w:r>
            <w:proofErr w:type="spellEnd"/>
          </w:p>
        </w:tc>
        <w:tc>
          <w:tcPr>
            <w:tcW w:w="2766" w:type="dxa"/>
          </w:tcPr>
          <w:p w14:paraId="01141F67" w14:textId="6A7CB070" w:rsidR="00B11EFA" w:rsidRPr="00C23A4C" w:rsidRDefault="006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C">
              <w:rPr>
                <w:rFonts w:ascii="Times New Roman" w:hAnsi="Times New Roman" w:cs="Times New Roman"/>
              </w:rPr>
              <w:t xml:space="preserve">Norāda atbilstošo -1 pote, 2. pote. </w:t>
            </w:r>
          </w:p>
        </w:tc>
      </w:tr>
      <w:tr w:rsidR="00C23A4C" w14:paraId="11F45829" w14:textId="77777777" w:rsidTr="00B11EFA">
        <w:tc>
          <w:tcPr>
            <w:tcW w:w="2765" w:type="dxa"/>
          </w:tcPr>
          <w:p w14:paraId="59B60602" w14:textId="239A245C" w:rsidR="00C23A4C" w:rsidRPr="00C23A4C" w:rsidRDefault="00C23A4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Indikācija</w:t>
            </w:r>
          </w:p>
        </w:tc>
        <w:tc>
          <w:tcPr>
            <w:tcW w:w="2765" w:type="dxa"/>
          </w:tcPr>
          <w:p w14:paraId="01D6933E" w14:textId="0C7C920F" w:rsidR="00C23A4C" w:rsidRDefault="00C23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Norāda atbilstošo</w:t>
            </w:r>
            <w:r w:rsidR="00CD0272">
              <w:rPr>
                <w:rFonts w:ascii="Times New Roman" w:hAnsi="Times New Roman" w:cs="Times New Roman"/>
              </w:rPr>
              <w:t>:</w:t>
            </w:r>
          </w:p>
          <w:p w14:paraId="37115444" w14:textId="4ABE4E81" w:rsidR="00C23A4C" w:rsidRPr="00C23A4C" w:rsidRDefault="00C23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Cits iedzīvotājs/ grūtniece</w:t>
            </w:r>
          </w:p>
        </w:tc>
        <w:tc>
          <w:tcPr>
            <w:tcW w:w="2766" w:type="dxa"/>
          </w:tcPr>
          <w:p w14:paraId="2EDA90DE" w14:textId="28EAA1EE" w:rsidR="00C23A4C" w:rsidRPr="00C23A4C" w:rsidRDefault="00C23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Cits iedzīvotājs</w:t>
            </w:r>
          </w:p>
        </w:tc>
      </w:tr>
    </w:tbl>
    <w:p w14:paraId="60CC6D2D" w14:textId="7EC4B9EC" w:rsidR="00B11EFA" w:rsidRDefault="00052680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</w:t>
      </w:r>
    </w:p>
    <w:p w14:paraId="5C1D84D9" w14:textId="30C76CA3" w:rsidR="002B74EC" w:rsidRDefault="002B74EC" w:rsidP="00FD0B23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D0B2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67AF3"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 veiktu vakcīnu pasūtījumu, v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akcinācijas iestādes katru mēnesi </w:t>
      </w:r>
      <w:r w:rsidRPr="00796BD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līdz piektajam datumam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iesniedz </w:t>
      </w:r>
      <w:r w:rsidR="004649A5"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Slimību profilakses un kontroles centra 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attiecīg</w:t>
      </w:r>
      <w:r w:rsidR="004649A5"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reģionāl</w:t>
      </w:r>
      <w:r w:rsidR="004649A5"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nodaļa</w:t>
      </w:r>
      <w:r w:rsidR="004649A5"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i,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vakcīnu pasūtījumu kārtējam mēnesim un pārskatu par vakcīnu izlietojumu pārskata mēnesī, aizpildot „Pārskats par iedzīvotāju imunizāciju un vakcīnu pasūtījums” (Noteikumu 3. pielikums). Aizpildīšanai piemērota veidlapa </w:t>
      </w:r>
      <w:r w:rsidRPr="00796BDA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MS Word</w:t>
      </w:r>
      <w:r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formātā pieejama SPKC tīmekļa vietnes (www.spkc.gov.lv) sadaļā “Profesionāļiem – Infekcijas slimības – Vakcinācija”</w:t>
      </w:r>
      <w:r w:rsidR="004649A5" w:rsidRPr="00796BDA">
        <w:rPr>
          <w:rStyle w:val="Footnote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="004649A5"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turklāt, </w:t>
      </w:r>
      <w:r w:rsidR="003979C8" w:rsidRPr="00796BD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minētajā sadaļā pie aktualitātēm ir pieejami ieteikumi ārstniecības iestādēm par vakcīnu pasūtījumiem 2022.-.2023.gadā</w:t>
      </w:r>
      <w:r w:rsidR="00FD0B2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2B74E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A2FD" w14:textId="77777777" w:rsidR="005F4332" w:rsidRDefault="005F4332" w:rsidP="004649A5">
      <w:pPr>
        <w:spacing w:after="0" w:line="240" w:lineRule="auto"/>
      </w:pPr>
      <w:r>
        <w:separator/>
      </w:r>
    </w:p>
  </w:endnote>
  <w:endnote w:type="continuationSeparator" w:id="0">
    <w:p w14:paraId="67BB4306" w14:textId="77777777" w:rsidR="005F4332" w:rsidRDefault="005F4332" w:rsidP="0046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68D6" w14:textId="77777777" w:rsidR="005F4332" w:rsidRDefault="005F4332" w:rsidP="004649A5">
      <w:pPr>
        <w:spacing w:after="0" w:line="240" w:lineRule="auto"/>
      </w:pPr>
      <w:r>
        <w:separator/>
      </w:r>
    </w:p>
  </w:footnote>
  <w:footnote w:type="continuationSeparator" w:id="0">
    <w:p w14:paraId="3AAA4170" w14:textId="77777777" w:rsidR="005F4332" w:rsidRDefault="005F4332" w:rsidP="004649A5">
      <w:pPr>
        <w:spacing w:after="0" w:line="240" w:lineRule="auto"/>
      </w:pPr>
      <w:r>
        <w:continuationSeparator/>
      </w:r>
    </w:p>
  </w:footnote>
  <w:footnote w:id="1">
    <w:p w14:paraId="6F06D7A9" w14:textId="0D5653A7" w:rsidR="004649A5" w:rsidRDefault="004649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43C41">
          <w:rPr>
            <w:rStyle w:val="Hyperlink"/>
          </w:rPr>
          <w:t>https://www.spkc.gov.lv/lv/vakcinacija</w:t>
        </w:r>
      </w:hyperlink>
    </w:p>
    <w:p w14:paraId="4CC98F95" w14:textId="77777777" w:rsidR="004649A5" w:rsidRDefault="004649A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2C18" w14:textId="1787B605" w:rsidR="002215BE" w:rsidRDefault="002215BE" w:rsidP="002215BE">
    <w:pPr>
      <w:pStyle w:val="Header"/>
      <w:jc w:val="right"/>
    </w:pPr>
    <w:r>
      <w:t>12.01.22</w:t>
    </w:r>
  </w:p>
  <w:p w14:paraId="15F884BE" w14:textId="77777777" w:rsidR="002215BE" w:rsidRDefault="00221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A8"/>
    <w:rsid w:val="00000854"/>
    <w:rsid w:val="00052680"/>
    <w:rsid w:val="00067AF3"/>
    <w:rsid w:val="000919D6"/>
    <w:rsid w:val="000B7059"/>
    <w:rsid w:val="000D4E1A"/>
    <w:rsid w:val="000F6B70"/>
    <w:rsid w:val="001B2734"/>
    <w:rsid w:val="002215BE"/>
    <w:rsid w:val="002B74EC"/>
    <w:rsid w:val="00352635"/>
    <w:rsid w:val="00385240"/>
    <w:rsid w:val="003979C8"/>
    <w:rsid w:val="003A516C"/>
    <w:rsid w:val="004649A5"/>
    <w:rsid w:val="004C3A0F"/>
    <w:rsid w:val="00524F0C"/>
    <w:rsid w:val="005F4332"/>
    <w:rsid w:val="00606CA8"/>
    <w:rsid w:val="0063439C"/>
    <w:rsid w:val="006C5933"/>
    <w:rsid w:val="006D0285"/>
    <w:rsid w:val="006D1E7F"/>
    <w:rsid w:val="006D68F7"/>
    <w:rsid w:val="006F515D"/>
    <w:rsid w:val="00796BDA"/>
    <w:rsid w:val="00896124"/>
    <w:rsid w:val="00B11EFA"/>
    <w:rsid w:val="00C23A4C"/>
    <w:rsid w:val="00CD0272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527B2"/>
  <w15:chartTrackingRefBased/>
  <w15:docId w15:val="{89C32864-8092-40D0-B6CE-87F9AD3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60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606CA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F5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15D"/>
    <w:rPr>
      <w:b/>
      <w:bCs/>
      <w:sz w:val="20"/>
      <w:szCs w:val="20"/>
    </w:rPr>
  </w:style>
  <w:style w:type="paragraph" w:customStyle="1" w:styleId="xxxmsonormal">
    <w:name w:val="x_xxmsonormal"/>
    <w:basedOn w:val="Normal"/>
    <w:rsid w:val="0063439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normaltextrun">
    <w:name w:val="normaltextrun"/>
    <w:basedOn w:val="DefaultParagraphFont"/>
    <w:rsid w:val="002B74EC"/>
  </w:style>
  <w:style w:type="character" w:customStyle="1" w:styleId="eop">
    <w:name w:val="eop"/>
    <w:basedOn w:val="DefaultParagraphFont"/>
    <w:rsid w:val="002B74EC"/>
  </w:style>
  <w:style w:type="character" w:customStyle="1" w:styleId="superscript">
    <w:name w:val="superscript"/>
    <w:basedOn w:val="DefaultParagraphFont"/>
    <w:rsid w:val="002B74EC"/>
  </w:style>
  <w:style w:type="paragraph" w:styleId="FootnoteText">
    <w:name w:val="footnote text"/>
    <w:basedOn w:val="Normal"/>
    <w:link w:val="FootnoteTextChar"/>
    <w:uiPriority w:val="99"/>
    <w:semiHidden/>
    <w:unhideWhenUsed/>
    <w:rsid w:val="004649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49A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49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9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5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BE"/>
  </w:style>
  <w:style w:type="paragraph" w:styleId="Footer">
    <w:name w:val="footer"/>
    <w:basedOn w:val="Normal"/>
    <w:link w:val="FooterChar"/>
    <w:uiPriority w:val="99"/>
    <w:unhideWhenUsed/>
    <w:rsid w:val="002215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kc.gov.lv/lv/vakcin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3653-A7E6-45DC-A35F-FB2FE77D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Anita Zolmane</cp:lastModifiedBy>
  <cp:revision>2</cp:revision>
  <dcterms:created xsi:type="dcterms:W3CDTF">2022-01-19T13:16:00Z</dcterms:created>
  <dcterms:modified xsi:type="dcterms:W3CDTF">2022-01-19T13:16:00Z</dcterms:modified>
</cp:coreProperties>
</file>