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2499" w14:textId="1469AB8B" w:rsidR="008C61C4" w:rsidRPr="001F762D" w:rsidRDefault="008F5CF3" w:rsidP="008F5CF3">
      <w:pPr>
        <w:pStyle w:val="NormalWeb"/>
        <w:shd w:val="clear" w:color="auto" w:fill="FFFFFF"/>
        <w:spacing w:before="120" w:beforeAutospacing="0" w:after="0" w:afterAutospacing="0"/>
        <w:jc w:val="both"/>
        <w:rPr>
          <w:b/>
          <w:bCs/>
          <w:sz w:val="22"/>
          <w:szCs w:val="22"/>
          <w:lang w:val="lv-LV"/>
        </w:rPr>
      </w:pPr>
      <w:r w:rsidRPr="001F762D">
        <w:rPr>
          <w:b/>
          <w:bCs/>
          <w:sz w:val="22"/>
          <w:szCs w:val="22"/>
          <w:lang w:val="lv-LV"/>
        </w:rPr>
        <w:t>Komentāri par veikt</w:t>
      </w:r>
      <w:r w:rsidR="00397FA9">
        <w:rPr>
          <w:b/>
          <w:bCs/>
          <w:sz w:val="22"/>
          <w:szCs w:val="22"/>
          <w:lang w:val="lv-LV"/>
        </w:rPr>
        <w:t>o</w:t>
      </w:r>
      <w:r w:rsidRPr="001F762D">
        <w:rPr>
          <w:b/>
          <w:bCs/>
          <w:sz w:val="22"/>
          <w:szCs w:val="22"/>
          <w:lang w:val="lv-LV"/>
        </w:rPr>
        <w:t xml:space="preserve"> </w:t>
      </w:r>
      <w:r w:rsidR="00397FA9">
        <w:rPr>
          <w:b/>
          <w:bCs/>
          <w:sz w:val="22"/>
          <w:szCs w:val="22"/>
          <w:lang w:val="lv-LV"/>
        </w:rPr>
        <w:t>papildinājumu</w:t>
      </w:r>
      <w:r w:rsidRPr="001F762D">
        <w:rPr>
          <w:b/>
          <w:bCs/>
          <w:sz w:val="22"/>
          <w:szCs w:val="22"/>
          <w:lang w:val="lv-LV"/>
        </w:rPr>
        <w:t xml:space="preserve"> </w:t>
      </w:r>
      <w:r w:rsidR="001F762D" w:rsidRPr="001F762D">
        <w:rPr>
          <w:b/>
          <w:bCs/>
          <w:sz w:val="22"/>
          <w:szCs w:val="22"/>
          <w:lang w:val="lv-LV"/>
        </w:rPr>
        <w:t xml:space="preserve">“Pārskats par  līdzekļu izlietojumu ārstniecības iestādē” </w:t>
      </w:r>
      <w:r w:rsidRPr="001F762D">
        <w:rPr>
          <w:b/>
          <w:bCs/>
          <w:sz w:val="22"/>
          <w:szCs w:val="22"/>
          <w:lang w:val="lv-LV"/>
        </w:rPr>
        <w:t xml:space="preserve">un to nepieciešamību </w:t>
      </w:r>
    </w:p>
    <w:p w14:paraId="407D3E51" w14:textId="77777777" w:rsidR="008F5CF3" w:rsidRDefault="008F5CF3" w:rsidP="003F5794">
      <w:pPr>
        <w:pStyle w:val="NormalWeb"/>
        <w:shd w:val="clear" w:color="auto" w:fill="FFFFFF"/>
        <w:spacing w:before="0" w:beforeAutospacing="0" w:after="0" w:afterAutospacing="0"/>
        <w:jc w:val="both"/>
        <w:rPr>
          <w:sz w:val="22"/>
          <w:szCs w:val="22"/>
        </w:rPr>
      </w:pPr>
    </w:p>
    <w:p w14:paraId="2997ACB7" w14:textId="262DA770" w:rsidR="003F5794" w:rsidRDefault="003F5794" w:rsidP="003F5794">
      <w:pPr>
        <w:pStyle w:val="NormalWeb"/>
        <w:shd w:val="clear" w:color="auto" w:fill="FFFFFF"/>
        <w:spacing w:before="0" w:beforeAutospacing="0" w:after="0" w:afterAutospacing="0"/>
        <w:jc w:val="both"/>
        <w:rPr>
          <w:sz w:val="22"/>
          <w:szCs w:val="22"/>
        </w:rPr>
      </w:pPr>
      <w:proofErr w:type="spellStart"/>
      <w:r w:rsidRPr="003F5794">
        <w:rPr>
          <w:sz w:val="22"/>
          <w:szCs w:val="22"/>
        </w:rPr>
        <w:t>Pārsvarā</w:t>
      </w:r>
      <w:proofErr w:type="spellEnd"/>
      <w:r w:rsidRPr="003F5794">
        <w:rPr>
          <w:sz w:val="22"/>
          <w:szCs w:val="22"/>
        </w:rPr>
        <w:t xml:space="preserve"> </w:t>
      </w:r>
      <w:proofErr w:type="spellStart"/>
      <w:r w:rsidRPr="003F5794">
        <w:rPr>
          <w:sz w:val="22"/>
          <w:szCs w:val="22"/>
        </w:rPr>
        <w:t>visām</w:t>
      </w:r>
      <w:proofErr w:type="spellEnd"/>
      <w:r w:rsidRPr="003F5794">
        <w:rPr>
          <w:sz w:val="22"/>
          <w:szCs w:val="22"/>
        </w:rPr>
        <w:t xml:space="preserve"> </w:t>
      </w:r>
      <w:proofErr w:type="spellStart"/>
      <w:r w:rsidRPr="003F5794">
        <w:rPr>
          <w:sz w:val="22"/>
          <w:szCs w:val="22"/>
        </w:rPr>
        <w:t>veselības</w:t>
      </w:r>
      <w:proofErr w:type="spellEnd"/>
      <w:r w:rsidRPr="003F5794">
        <w:rPr>
          <w:sz w:val="22"/>
          <w:szCs w:val="22"/>
        </w:rPr>
        <w:t xml:space="preserve"> </w:t>
      </w:r>
      <w:proofErr w:type="spellStart"/>
      <w:r w:rsidRPr="003F5794">
        <w:rPr>
          <w:sz w:val="22"/>
          <w:szCs w:val="22"/>
        </w:rPr>
        <w:t>aprūpes</w:t>
      </w:r>
      <w:proofErr w:type="spellEnd"/>
      <w:r w:rsidRPr="003F5794">
        <w:rPr>
          <w:sz w:val="22"/>
          <w:szCs w:val="22"/>
        </w:rPr>
        <w:t xml:space="preserve"> </w:t>
      </w:r>
      <w:proofErr w:type="spellStart"/>
      <w:r w:rsidRPr="003F5794">
        <w:rPr>
          <w:sz w:val="22"/>
          <w:szCs w:val="22"/>
        </w:rPr>
        <w:t>iestādēm</w:t>
      </w:r>
      <w:proofErr w:type="spellEnd"/>
      <w:r w:rsidRPr="003F5794">
        <w:rPr>
          <w:sz w:val="22"/>
          <w:szCs w:val="22"/>
        </w:rPr>
        <w:t xml:space="preserve"> un </w:t>
      </w:r>
      <w:proofErr w:type="spellStart"/>
      <w:r w:rsidRPr="003F5794">
        <w:rPr>
          <w:sz w:val="22"/>
          <w:szCs w:val="22"/>
        </w:rPr>
        <w:t>veselības</w:t>
      </w:r>
      <w:proofErr w:type="spellEnd"/>
      <w:r w:rsidRPr="003F5794">
        <w:rPr>
          <w:sz w:val="22"/>
          <w:szCs w:val="22"/>
        </w:rPr>
        <w:t xml:space="preserve"> </w:t>
      </w:r>
      <w:proofErr w:type="spellStart"/>
      <w:r w:rsidRPr="003F5794">
        <w:rPr>
          <w:sz w:val="22"/>
          <w:szCs w:val="22"/>
        </w:rPr>
        <w:t>aprūpes</w:t>
      </w:r>
      <w:proofErr w:type="spellEnd"/>
      <w:r w:rsidRPr="003F5794">
        <w:rPr>
          <w:sz w:val="22"/>
          <w:szCs w:val="22"/>
        </w:rPr>
        <w:t xml:space="preserve"> </w:t>
      </w:r>
      <w:proofErr w:type="spellStart"/>
      <w:r w:rsidRPr="003F5794">
        <w:rPr>
          <w:sz w:val="22"/>
          <w:szCs w:val="22"/>
        </w:rPr>
        <w:t>pakalpojumu</w:t>
      </w:r>
      <w:proofErr w:type="spellEnd"/>
      <w:r w:rsidRPr="003F5794">
        <w:rPr>
          <w:sz w:val="22"/>
          <w:szCs w:val="22"/>
        </w:rPr>
        <w:t xml:space="preserve"> </w:t>
      </w:r>
      <w:proofErr w:type="spellStart"/>
      <w:r w:rsidRPr="003F5794">
        <w:rPr>
          <w:sz w:val="22"/>
          <w:szCs w:val="22"/>
        </w:rPr>
        <w:t>sniedzējiem</w:t>
      </w:r>
      <w:proofErr w:type="spellEnd"/>
      <w:r w:rsidRPr="003F5794">
        <w:rPr>
          <w:sz w:val="22"/>
          <w:szCs w:val="22"/>
        </w:rPr>
        <w:t xml:space="preserve"> </w:t>
      </w:r>
      <w:proofErr w:type="spellStart"/>
      <w:r w:rsidRPr="003F5794">
        <w:rPr>
          <w:sz w:val="22"/>
          <w:szCs w:val="22"/>
        </w:rPr>
        <w:t>ar</w:t>
      </w:r>
      <w:proofErr w:type="spellEnd"/>
      <w:r w:rsidRPr="003F5794">
        <w:rPr>
          <w:sz w:val="22"/>
          <w:szCs w:val="22"/>
        </w:rPr>
        <w:t xml:space="preserve"> </w:t>
      </w:r>
      <w:proofErr w:type="spellStart"/>
      <w:r w:rsidRPr="003F5794">
        <w:rPr>
          <w:sz w:val="22"/>
          <w:szCs w:val="22"/>
        </w:rPr>
        <w:t>Nacionālo</w:t>
      </w:r>
      <w:proofErr w:type="spellEnd"/>
      <w:r w:rsidRPr="003F5794">
        <w:rPr>
          <w:sz w:val="22"/>
          <w:szCs w:val="22"/>
        </w:rPr>
        <w:t xml:space="preserve"> </w:t>
      </w:r>
      <w:proofErr w:type="spellStart"/>
      <w:r w:rsidRPr="003F5794">
        <w:rPr>
          <w:sz w:val="22"/>
          <w:szCs w:val="22"/>
        </w:rPr>
        <w:t>veselības</w:t>
      </w:r>
      <w:proofErr w:type="spellEnd"/>
      <w:r w:rsidRPr="003F5794">
        <w:rPr>
          <w:sz w:val="22"/>
          <w:szCs w:val="22"/>
        </w:rPr>
        <w:t xml:space="preserve"> </w:t>
      </w:r>
      <w:proofErr w:type="spellStart"/>
      <w:r w:rsidRPr="003F5794">
        <w:rPr>
          <w:sz w:val="22"/>
          <w:szCs w:val="22"/>
        </w:rPr>
        <w:t>dienestu</w:t>
      </w:r>
      <w:proofErr w:type="spellEnd"/>
      <w:r w:rsidRPr="003F5794">
        <w:rPr>
          <w:sz w:val="22"/>
          <w:szCs w:val="22"/>
        </w:rPr>
        <w:t xml:space="preserve"> </w:t>
      </w:r>
      <w:proofErr w:type="spellStart"/>
      <w:r w:rsidRPr="003F5794">
        <w:rPr>
          <w:sz w:val="22"/>
          <w:szCs w:val="22"/>
        </w:rPr>
        <w:t>kā</w:t>
      </w:r>
      <w:proofErr w:type="spellEnd"/>
      <w:r w:rsidRPr="003F5794">
        <w:rPr>
          <w:sz w:val="22"/>
          <w:szCs w:val="22"/>
        </w:rPr>
        <w:t xml:space="preserve"> </w:t>
      </w:r>
      <w:proofErr w:type="spellStart"/>
      <w:r w:rsidRPr="003F5794">
        <w:rPr>
          <w:sz w:val="22"/>
          <w:szCs w:val="22"/>
        </w:rPr>
        <w:t>finansējuma</w:t>
      </w:r>
      <w:proofErr w:type="spellEnd"/>
      <w:r w:rsidRPr="003F5794">
        <w:rPr>
          <w:sz w:val="22"/>
          <w:szCs w:val="22"/>
        </w:rPr>
        <w:t xml:space="preserve"> </w:t>
      </w:r>
      <w:proofErr w:type="spellStart"/>
      <w:r w:rsidRPr="003F5794">
        <w:rPr>
          <w:sz w:val="22"/>
          <w:szCs w:val="22"/>
        </w:rPr>
        <w:t>devēju</w:t>
      </w:r>
      <w:proofErr w:type="spellEnd"/>
      <w:r w:rsidRPr="003F5794">
        <w:rPr>
          <w:sz w:val="22"/>
          <w:szCs w:val="22"/>
        </w:rPr>
        <w:t xml:space="preserve"> </w:t>
      </w:r>
      <w:proofErr w:type="spellStart"/>
      <w:r w:rsidRPr="003F5794">
        <w:rPr>
          <w:sz w:val="22"/>
          <w:szCs w:val="22"/>
        </w:rPr>
        <w:t>ir</w:t>
      </w:r>
      <w:proofErr w:type="spellEnd"/>
      <w:r w:rsidRPr="003F5794">
        <w:rPr>
          <w:sz w:val="22"/>
          <w:szCs w:val="22"/>
        </w:rPr>
        <w:t xml:space="preserve"> </w:t>
      </w:r>
      <w:proofErr w:type="spellStart"/>
      <w:r w:rsidRPr="003F5794">
        <w:rPr>
          <w:sz w:val="22"/>
          <w:szCs w:val="22"/>
        </w:rPr>
        <w:t>noslēgti</w:t>
      </w:r>
      <w:proofErr w:type="spellEnd"/>
      <w:r w:rsidRPr="003F5794">
        <w:rPr>
          <w:sz w:val="22"/>
          <w:szCs w:val="22"/>
        </w:rPr>
        <w:t xml:space="preserve"> </w:t>
      </w:r>
      <w:proofErr w:type="spellStart"/>
      <w:r w:rsidRPr="003F5794">
        <w:rPr>
          <w:sz w:val="22"/>
          <w:szCs w:val="22"/>
        </w:rPr>
        <w:t>līgumi</w:t>
      </w:r>
      <w:proofErr w:type="spellEnd"/>
      <w:r w:rsidRPr="003F5794">
        <w:rPr>
          <w:sz w:val="22"/>
          <w:szCs w:val="22"/>
        </w:rPr>
        <w:t xml:space="preserve"> par no </w:t>
      </w:r>
      <w:proofErr w:type="spellStart"/>
      <w:r w:rsidRPr="003F5794">
        <w:rPr>
          <w:sz w:val="22"/>
          <w:szCs w:val="22"/>
        </w:rPr>
        <w:t>valsts</w:t>
      </w:r>
      <w:proofErr w:type="spellEnd"/>
      <w:r w:rsidRPr="003F5794">
        <w:rPr>
          <w:sz w:val="22"/>
          <w:szCs w:val="22"/>
        </w:rPr>
        <w:t xml:space="preserve"> </w:t>
      </w:r>
      <w:proofErr w:type="spellStart"/>
      <w:r w:rsidRPr="003F5794">
        <w:rPr>
          <w:sz w:val="22"/>
          <w:szCs w:val="22"/>
        </w:rPr>
        <w:t>budžeta</w:t>
      </w:r>
      <w:proofErr w:type="spellEnd"/>
      <w:r w:rsidRPr="003F5794">
        <w:rPr>
          <w:sz w:val="22"/>
          <w:szCs w:val="22"/>
        </w:rPr>
        <w:t xml:space="preserve"> </w:t>
      </w:r>
      <w:proofErr w:type="spellStart"/>
      <w:r w:rsidRPr="003F5794">
        <w:rPr>
          <w:sz w:val="22"/>
          <w:szCs w:val="22"/>
        </w:rPr>
        <w:t>apmaksāto</w:t>
      </w:r>
      <w:proofErr w:type="spellEnd"/>
      <w:r w:rsidRPr="003F5794">
        <w:rPr>
          <w:sz w:val="22"/>
          <w:szCs w:val="22"/>
        </w:rPr>
        <w:t xml:space="preserve"> </w:t>
      </w:r>
      <w:proofErr w:type="spellStart"/>
      <w:r w:rsidRPr="003F5794">
        <w:rPr>
          <w:sz w:val="22"/>
          <w:szCs w:val="22"/>
        </w:rPr>
        <w:t>veselības</w:t>
      </w:r>
      <w:proofErr w:type="spellEnd"/>
      <w:r w:rsidRPr="003F5794">
        <w:rPr>
          <w:sz w:val="22"/>
          <w:szCs w:val="22"/>
        </w:rPr>
        <w:t xml:space="preserve"> </w:t>
      </w:r>
      <w:proofErr w:type="spellStart"/>
      <w:r w:rsidRPr="003F5794">
        <w:rPr>
          <w:sz w:val="22"/>
          <w:szCs w:val="22"/>
        </w:rPr>
        <w:t>aprūpes</w:t>
      </w:r>
      <w:proofErr w:type="spellEnd"/>
      <w:r w:rsidRPr="003F5794">
        <w:rPr>
          <w:sz w:val="22"/>
          <w:szCs w:val="22"/>
        </w:rPr>
        <w:t xml:space="preserve"> </w:t>
      </w:r>
      <w:proofErr w:type="spellStart"/>
      <w:r w:rsidRPr="003F5794">
        <w:rPr>
          <w:sz w:val="22"/>
          <w:szCs w:val="22"/>
        </w:rPr>
        <w:t>pakalpojumu</w:t>
      </w:r>
      <w:proofErr w:type="spellEnd"/>
      <w:r w:rsidRPr="003F5794">
        <w:rPr>
          <w:sz w:val="22"/>
          <w:szCs w:val="22"/>
        </w:rPr>
        <w:t xml:space="preserve"> </w:t>
      </w:r>
      <w:proofErr w:type="spellStart"/>
      <w:r w:rsidRPr="003F5794">
        <w:rPr>
          <w:sz w:val="22"/>
          <w:szCs w:val="22"/>
        </w:rPr>
        <w:t>sniegšanu</w:t>
      </w:r>
      <w:proofErr w:type="spellEnd"/>
      <w:r w:rsidRPr="003F5794">
        <w:rPr>
          <w:sz w:val="22"/>
          <w:szCs w:val="22"/>
        </w:rPr>
        <w:t xml:space="preserve"> (</w:t>
      </w:r>
      <w:proofErr w:type="spellStart"/>
      <w:r w:rsidRPr="003F5794">
        <w:rPr>
          <w:sz w:val="22"/>
          <w:szCs w:val="22"/>
        </w:rPr>
        <w:t>pakalpojumu</w:t>
      </w:r>
      <w:proofErr w:type="spellEnd"/>
      <w:r w:rsidRPr="003F5794">
        <w:rPr>
          <w:sz w:val="22"/>
          <w:szCs w:val="22"/>
        </w:rPr>
        <w:t xml:space="preserve"> </w:t>
      </w:r>
      <w:proofErr w:type="spellStart"/>
      <w:r w:rsidRPr="003F5794">
        <w:rPr>
          <w:sz w:val="22"/>
          <w:szCs w:val="22"/>
        </w:rPr>
        <w:t>sniedzēji</w:t>
      </w:r>
      <w:proofErr w:type="spellEnd"/>
      <w:r w:rsidRPr="003F5794">
        <w:rPr>
          <w:sz w:val="22"/>
          <w:szCs w:val="22"/>
        </w:rPr>
        <w:t xml:space="preserve"> </w:t>
      </w:r>
      <w:proofErr w:type="spellStart"/>
      <w:r w:rsidRPr="003F5794">
        <w:rPr>
          <w:sz w:val="22"/>
          <w:szCs w:val="22"/>
        </w:rPr>
        <w:t>ir</w:t>
      </w:r>
      <w:proofErr w:type="spellEnd"/>
      <w:r w:rsidRPr="003F5794">
        <w:rPr>
          <w:sz w:val="22"/>
          <w:szCs w:val="22"/>
        </w:rPr>
        <w:t xml:space="preserve"> </w:t>
      </w:r>
      <w:proofErr w:type="spellStart"/>
      <w:r w:rsidRPr="003F5794">
        <w:rPr>
          <w:sz w:val="22"/>
          <w:szCs w:val="22"/>
        </w:rPr>
        <w:t>pašvaldību</w:t>
      </w:r>
      <w:proofErr w:type="spellEnd"/>
      <w:r w:rsidRPr="003F5794">
        <w:rPr>
          <w:sz w:val="22"/>
          <w:szCs w:val="22"/>
        </w:rPr>
        <w:t xml:space="preserve"> </w:t>
      </w:r>
      <w:proofErr w:type="spellStart"/>
      <w:r w:rsidRPr="003F5794">
        <w:rPr>
          <w:sz w:val="22"/>
          <w:szCs w:val="22"/>
        </w:rPr>
        <w:t>padotības</w:t>
      </w:r>
      <w:proofErr w:type="spellEnd"/>
      <w:r w:rsidRPr="003F5794">
        <w:rPr>
          <w:sz w:val="22"/>
          <w:szCs w:val="22"/>
        </w:rPr>
        <w:t xml:space="preserve"> </w:t>
      </w:r>
      <w:proofErr w:type="spellStart"/>
      <w:r w:rsidRPr="003F5794">
        <w:rPr>
          <w:sz w:val="22"/>
          <w:szCs w:val="22"/>
        </w:rPr>
        <w:t>institūcijas</w:t>
      </w:r>
      <w:proofErr w:type="spellEnd"/>
      <w:r w:rsidRPr="003F5794">
        <w:rPr>
          <w:sz w:val="22"/>
          <w:szCs w:val="22"/>
        </w:rPr>
        <w:t xml:space="preserve">, </w:t>
      </w:r>
      <w:proofErr w:type="spellStart"/>
      <w:r w:rsidRPr="003F5794">
        <w:rPr>
          <w:sz w:val="22"/>
          <w:szCs w:val="22"/>
        </w:rPr>
        <w:t>sabiedrības</w:t>
      </w:r>
      <w:proofErr w:type="spellEnd"/>
      <w:r w:rsidRPr="003F5794">
        <w:rPr>
          <w:sz w:val="22"/>
          <w:szCs w:val="22"/>
        </w:rPr>
        <w:t xml:space="preserve"> </w:t>
      </w:r>
      <w:proofErr w:type="spellStart"/>
      <w:r w:rsidRPr="003F5794">
        <w:rPr>
          <w:sz w:val="22"/>
          <w:szCs w:val="22"/>
        </w:rPr>
        <w:t>ar</w:t>
      </w:r>
      <w:proofErr w:type="spellEnd"/>
      <w:r w:rsidRPr="003F5794">
        <w:rPr>
          <w:sz w:val="22"/>
          <w:szCs w:val="22"/>
        </w:rPr>
        <w:t xml:space="preserve"> </w:t>
      </w:r>
      <w:proofErr w:type="spellStart"/>
      <w:r w:rsidRPr="003F5794">
        <w:rPr>
          <w:sz w:val="22"/>
          <w:szCs w:val="22"/>
        </w:rPr>
        <w:t>ierobežotu</w:t>
      </w:r>
      <w:proofErr w:type="spellEnd"/>
      <w:r w:rsidRPr="003F5794">
        <w:rPr>
          <w:sz w:val="22"/>
          <w:szCs w:val="22"/>
        </w:rPr>
        <w:t xml:space="preserve"> </w:t>
      </w:r>
      <w:proofErr w:type="spellStart"/>
      <w:r w:rsidRPr="003F5794">
        <w:rPr>
          <w:sz w:val="22"/>
          <w:szCs w:val="22"/>
        </w:rPr>
        <w:t>atbildību</w:t>
      </w:r>
      <w:proofErr w:type="spellEnd"/>
      <w:r w:rsidRPr="003F5794">
        <w:rPr>
          <w:sz w:val="22"/>
          <w:szCs w:val="22"/>
        </w:rPr>
        <w:t xml:space="preserve"> un </w:t>
      </w:r>
      <w:proofErr w:type="spellStart"/>
      <w:r w:rsidRPr="003F5794">
        <w:rPr>
          <w:sz w:val="22"/>
          <w:szCs w:val="22"/>
        </w:rPr>
        <w:t>pašnodarbinātas</w:t>
      </w:r>
      <w:proofErr w:type="spellEnd"/>
      <w:r w:rsidRPr="003F5794">
        <w:rPr>
          <w:sz w:val="22"/>
          <w:szCs w:val="22"/>
        </w:rPr>
        <w:t xml:space="preserve"> personas)</w:t>
      </w:r>
      <w:r>
        <w:rPr>
          <w:sz w:val="22"/>
          <w:szCs w:val="22"/>
        </w:rPr>
        <w:t>.</w:t>
      </w:r>
    </w:p>
    <w:p w14:paraId="781E9214" w14:textId="77777777" w:rsidR="003F5794" w:rsidRPr="003F5794" w:rsidRDefault="003F5794" w:rsidP="003F5794">
      <w:pPr>
        <w:pStyle w:val="NormalWeb"/>
        <w:shd w:val="clear" w:color="auto" w:fill="FFFFFF"/>
        <w:spacing w:before="0" w:beforeAutospacing="0" w:after="0" w:afterAutospacing="0"/>
        <w:jc w:val="both"/>
        <w:rPr>
          <w:sz w:val="22"/>
          <w:szCs w:val="22"/>
          <w:lang w:val="lv-LV"/>
        </w:rPr>
      </w:pPr>
    </w:p>
    <w:p w14:paraId="73498DD8" w14:textId="0595C672" w:rsidR="0023032B" w:rsidRPr="003F5794" w:rsidRDefault="003958AE" w:rsidP="003958AE">
      <w:pPr>
        <w:spacing w:line="240" w:lineRule="auto"/>
        <w:jc w:val="both"/>
        <w:rPr>
          <w:rFonts w:ascii="Times New Roman" w:hAnsi="Times New Roman" w:cs="Times New Roman"/>
        </w:rPr>
      </w:pPr>
      <w:r w:rsidRPr="003F5794">
        <w:rPr>
          <w:rFonts w:ascii="Times New Roman" w:hAnsi="Times New Roman" w:cs="Times New Roman"/>
        </w:rPr>
        <w:t>Augstāk minētie līgumi EK Lēmuma Nr.2012/21/ES</w:t>
      </w:r>
      <w:r w:rsidR="003F5794">
        <w:rPr>
          <w:rFonts w:ascii="Times New Roman" w:hAnsi="Times New Roman" w:cs="Times New Roman"/>
        </w:rPr>
        <w:t xml:space="preserve"> </w:t>
      </w:r>
      <w:r w:rsidR="003F5794" w:rsidRPr="003F5794">
        <w:rPr>
          <w:rFonts w:ascii="Times New Roman" w:hAnsi="Times New Roman" w:cs="Times New Roman"/>
        </w:rPr>
        <w:t>par LESD 106.panta 2.punkta piemērošanu valsts atbalstam attiecībā uz kompensāciju par sabiedriskajiem pakalpojumiem dažiem uzņēmumiem, kuriem uzticēts sniegt pakalpojumus ar vispārēju tautsaimniecisku nozīmi</w:t>
      </w:r>
      <w:r w:rsidRPr="003F5794">
        <w:rPr>
          <w:rFonts w:ascii="Times New Roman" w:hAnsi="Times New Roman" w:cs="Times New Roman"/>
        </w:rPr>
        <w:t xml:space="preserve"> </w:t>
      </w:r>
      <w:r w:rsidR="003F5794" w:rsidRPr="003F5794">
        <w:rPr>
          <w:rFonts w:ascii="Times New Roman" w:hAnsi="Times New Roman" w:cs="Times New Roman"/>
        </w:rPr>
        <w:t xml:space="preserve">(turpmāk </w:t>
      </w:r>
      <w:r w:rsidR="003F5794">
        <w:rPr>
          <w:rFonts w:ascii="Times New Roman" w:hAnsi="Times New Roman" w:cs="Times New Roman"/>
        </w:rPr>
        <w:t>–</w:t>
      </w:r>
      <w:r w:rsidR="003F5794" w:rsidRPr="003F5794">
        <w:rPr>
          <w:rFonts w:ascii="Times New Roman" w:hAnsi="Times New Roman" w:cs="Times New Roman"/>
        </w:rPr>
        <w:t xml:space="preserve"> VTNP</w:t>
      </w:r>
      <w:r w:rsidR="003F5794">
        <w:rPr>
          <w:rFonts w:ascii="Times New Roman" w:hAnsi="Times New Roman" w:cs="Times New Roman"/>
        </w:rPr>
        <w:t xml:space="preserve"> lēmums</w:t>
      </w:r>
      <w:r w:rsidR="003F5794" w:rsidRPr="003F5794">
        <w:rPr>
          <w:rFonts w:ascii="Times New Roman" w:hAnsi="Times New Roman" w:cs="Times New Roman"/>
        </w:rPr>
        <w:t xml:space="preserve">) </w:t>
      </w:r>
      <w:r w:rsidRPr="003F5794">
        <w:rPr>
          <w:rFonts w:ascii="Times New Roman" w:hAnsi="Times New Roman" w:cs="Times New Roman"/>
        </w:rPr>
        <w:t xml:space="preserve">kontekstā uzskatāmi par deleģējuma līgumiem valsts atbalstam attiecībā uz kompensāciju par sabiedriskajiem pakalpojumiem uzņēmumiem, kuriem uzticēts sniegt pakalpojumus ar vispārēju tautsaimniecisku nozīmi (turpmāk </w:t>
      </w:r>
      <w:r w:rsidR="003F5794">
        <w:rPr>
          <w:rFonts w:ascii="Times New Roman" w:hAnsi="Times New Roman" w:cs="Times New Roman"/>
        </w:rPr>
        <w:t>–</w:t>
      </w:r>
      <w:r w:rsidRPr="003F5794">
        <w:rPr>
          <w:rFonts w:ascii="Times New Roman" w:hAnsi="Times New Roman" w:cs="Times New Roman"/>
        </w:rPr>
        <w:t xml:space="preserve"> VTNP</w:t>
      </w:r>
      <w:r w:rsidR="003F5794">
        <w:rPr>
          <w:rFonts w:ascii="Times New Roman" w:hAnsi="Times New Roman" w:cs="Times New Roman"/>
        </w:rPr>
        <w:t xml:space="preserve"> </w:t>
      </w:r>
      <w:r w:rsidRPr="003F5794">
        <w:rPr>
          <w:rFonts w:ascii="Times New Roman" w:hAnsi="Times New Roman" w:cs="Times New Roman"/>
        </w:rPr>
        <w:t>).</w:t>
      </w:r>
      <w:r w:rsidR="008C61C4" w:rsidRPr="003F5794">
        <w:rPr>
          <w:rFonts w:ascii="Times New Roman" w:hAnsi="Times New Roman" w:cs="Times New Roman"/>
        </w:rPr>
        <w:t xml:space="preserve"> </w:t>
      </w:r>
      <w:r w:rsidR="007E30FE" w:rsidRPr="003F5794">
        <w:rPr>
          <w:rFonts w:ascii="Times New Roman" w:hAnsi="Times New Roman" w:cs="Times New Roman"/>
        </w:rPr>
        <w:t xml:space="preserve">Līdz ar to ārstniecības iestāde, ar kuru </w:t>
      </w:r>
      <w:r w:rsidR="003F5794">
        <w:rPr>
          <w:rFonts w:ascii="Times New Roman" w:hAnsi="Times New Roman" w:cs="Times New Roman"/>
        </w:rPr>
        <w:t>Nacionālais veselības dienests</w:t>
      </w:r>
      <w:r w:rsidR="007E30FE" w:rsidRPr="003F5794">
        <w:rPr>
          <w:rFonts w:ascii="Times New Roman" w:hAnsi="Times New Roman" w:cs="Times New Roman"/>
        </w:rPr>
        <w:t xml:space="preserve"> ir noslēdzis līgumu par veselības aprūpes pakalpojumu sniegšanu ir uzskatām</w:t>
      </w:r>
      <w:r w:rsidR="003F5794">
        <w:rPr>
          <w:rFonts w:ascii="Times New Roman" w:hAnsi="Times New Roman" w:cs="Times New Roman"/>
        </w:rPr>
        <w:t>a</w:t>
      </w:r>
      <w:r w:rsidR="007E30FE" w:rsidRPr="003F5794">
        <w:rPr>
          <w:rFonts w:ascii="Times New Roman" w:hAnsi="Times New Roman" w:cs="Times New Roman"/>
        </w:rPr>
        <w:t xml:space="preserve"> par valsts atbalsta saņēmēju jeb saimnieciskās darbības veicēju, kuram uzticēts veikt pakalpojumus ar vispārēju tautsaimniecisku nozīmi.</w:t>
      </w:r>
      <w:r w:rsidR="00397FA9">
        <w:rPr>
          <w:rFonts w:ascii="Times New Roman" w:hAnsi="Times New Roman" w:cs="Times New Roman"/>
        </w:rPr>
        <w:t xml:space="preserve"> </w:t>
      </w:r>
    </w:p>
    <w:p w14:paraId="50BB144C" w14:textId="2C2C1F40" w:rsidR="002E4DE0" w:rsidRPr="001F762D" w:rsidRDefault="002E4DE0" w:rsidP="003958AE">
      <w:pPr>
        <w:spacing w:line="240" w:lineRule="auto"/>
        <w:jc w:val="both"/>
        <w:rPr>
          <w:rFonts w:ascii="Times New Roman" w:hAnsi="Times New Roman" w:cs="Times New Roman"/>
        </w:rPr>
      </w:pPr>
      <w:r w:rsidRPr="003F5794">
        <w:rPr>
          <w:rFonts w:ascii="Times New Roman" w:hAnsi="Times New Roman" w:cs="Times New Roman"/>
          <w:color w:val="212529"/>
          <w:shd w:val="clear" w:color="auto" w:fill="FFFFFF"/>
        </w:rPr>
        <w:t>Termins “kompensācija par vispārējas tautsaimnieciskas nozīmes pakalpojumiem” var ietvert dažādus atbalsta veidus, tai skaitā, dotācija/subsīdija, galvojums, kredītu procentu likmju subsidēšana, nodokļu atlaides, pilnīga vai daļēja atteikšanās no dividendēm, ieguldījums pamatkapitālā, parādu norakstīšana, īpašuma iznomāšana zem tirgus vērtības u.c. Kompensācijas jēdziens ir plašāks nekā tikai tarifu starpības kompensēšana vai ikgadēja saimnieciskās darbības zaudējumu segšana. Sabiedriskā pakalpojuma kompensācijas jēdziens aptver arī ES fondu finansējumu, kurš piešķirts pakalpojuma sniegšanai nepieciešamās infrastruktūras izbūvei vai rekonstrukcijai.</w:t>
      </w:r>
      <w:r w:rsidR="0021643B" w:rsidRPr="003F5794">
        <w:rPr>
          <w:rFonts w:ascii="Times New Roman" w:hAnsi="Times New Roman" w:cs="Times New Roman"/>
          <w:color w:val="212529"/>
          <w:shd w:val="clear" w:color="auto" w:fill="FFFFFF"/>
        </w:rPr>
        <w:t xml:space="preserve"> </w:t>
      </w:r>
      <w:r w:rsidR="0021643B" w:rsidRPr="003F5794">
        <w:rPr>
          <w:rFonts w:ascii="Times New Roman" w:hAnsi="Times New Roman" w:cs="Times New Roman"/>
        </w:rPr>
        <w:t>VTNP lēmums nosaka kompensācijas summas ierobežojumu – tā nedrīkst būt lielāka par summu, kas nepieciešama, lai segtu neto izmaksas, kas rodas pildot VTNP pienākumu, tostarp saprātīgu peļņu.</w:t>
      </w:r>
      <w:r w:rsidR="001F762D">
        <w:rPr>
          <w:rFonts w:ascii="Times New Roman" w:hAnsi="Times New Roman" w:cs="Times New Roman"/>
        </w:rPr>
        <w:t xml:space="preserve"> </w:t>
      </w:r>
      <w:r w:rsidR="001F762D" w:rsidRPr="001F762D">
        <w:rPr>
          <w:rFonts w:ascii="Times New Roman" w:hAnsi="Times New Roman" w:cs="Times New Roman"/>
        </w:rPr>
        <w:t>Iekšējā grāmatvedības uzskaitē jābūt iespējai noteikt izmaksas, kuras ir saistītas ar VTNP sniegšanu, jo pretējā gadījumā nevar noteikt kompensācijas apmēru. Turklāt uzņēmumam, kuram uzticēts sniegt VTNP, jāspēj pierādīt, ka tas nav saņēmis pārmērīgu kompensāciju.</w:t>
      </w:r>
    </w:p>
    <w:p w14:paraId="67DFD2EF" w14:textId="42C236A3" w:rsidR="0021643B" w:rsidRDefault="0021643B" w:rsidP="003958AE">
      <w:pPr>
        <w:spacing w:line="240" w:lineRule="auto"/>
        <w:jc w:val="both"/>
        <w:rPr>
          <w:rFonts w:ascii="Times New Roman" w:hAnsi="Times New Roman" w:cs="Times New Roman"/>
        </w:rPr>
      </w:pPr>
      <w:r w:rsidRPr="003F5794">
        <w:rPr>
          <w:rFonts w:ascii="Times New Roman" w:hAnsi="Times New Roman" w:cs="Times New Roman"/>
        </w:rPr>
        <w:t>Ar pārmērīgu kompensāciju saprot uzņēmumam izmaksātu kompensāciju, kas pārsniedz summu, kāda ir nepieciešama neto izmaksu segšanai par VTNP saistību izpildi, ieskaitot saprātīgu peļņu.</w:t>
      </w:r>
      <w:r w:rsidR="003F08DC">
        <w:rPr>
          <w:rFonts w:ascii="Times New Roman" w:hAnsi="Times New Roman" w:cs="Times New Roman"/>
        </w:rPr>
        <w:t xml:space="preserve"> </w:t>
      </w:r>
      <w:r w:rsidR="003F08DC" w:rsidRPr="003F08DC">
        <w:rPr>
          <w:rFonts w:ascii="Times New Roman" w:hAnsi="Times New Roman" w:cs="Times New Roman"/>
        </w:rPr>
        <w:t>VTNP lēmuma 5. panta 7. punktā ir paredzēts t. s. „drošās zonas” noteikums, saskaņā ar kuru kapitāla rentabilitātes koeficients nepārsniedz mijmaiņas darījumu likmi</w:t>
      </w:r>
      <w:r w:rsidR="003F08DC">
        <w:rPr>
          <w:rFonts w:ascii="Times New Roman" w:hAnsi="Times New Roman" w:cs="Times New Roman"/>
        </w:rPr>
        <w:t xml:space="preserve"> </w:t>
      </w:r>
      <w:r w:rsidR="003F08DC" w:rsidRPr="003F08DC">
        <w:rPr>
          <w:rFonts w:ascii="Times New Roman" w:hAnsi="Times New Roman" w:cs="Times New Roman"/>
        </w:rPr>
        <w:t xml:space="preserve">ar prēmiju 100 bāzes punktu apmērā, tiek jebkurā gadījumā uzskatīts par saprātīgu. Šī likme ir arī saprātīgas peļņas augšējā robeža, ja pakalpojuma sniegšana nav saistīta ar būtisku risku, vai, ja tiek piemērota </w:t>
      </w:r>
      <w:proofErr w:type="spellStart"/>
      <w:r w:rsidR="003F08DC" w:rsidRPr="003F08DC">
        <w:rPr>
          <w:rFonts w:ascii="Times New Roman" w:hAnsi="Times New Roman" w:cs="Times New Roman"/>
        </w:rPr>
        <w:t>ex</w:t>
      </w:r>
      <w:proofErr w:type="spellEnd"/>
      <w:r w:rsidR="003F08DC" w:rsidRPr="003F08DC">
        <w:rPr>
          <w:rFonts w:ascii="Times New Roman" w:hAnsi="Times New Roman" w:cs="Times New Roman"/>
        </w:rPr>
        <w:t xml:space="preserve"> post kompensācija pilnā apmērā.</w:t>
      </w:r>
      <w:r w:rsidR="003F5794" w:rsidRPr="003F08DC">
        <w:rPr>
          <w:rFonts w:ascii="Times New Roman" w:hAnsi="Times New Roman" w:cs="Times New Roman"/>
        </w:rPr>
        <w:t xml:space="preserve"> </w:t>
      </w:r>
      <w:r w:rsidR="00FA7898" w:rsidRPr="00FA7898">
        <w:rPr>
          <w:rFonts w:ascii="Times New Roman" w:hAnsi="Times New Roman" w:cs="Times New Roman"/>
        </w:rPr>
        <w:t>Saprātīgas peļņas % jeb finansiālā rentabilitāte pēc nodokļiem katru gadu ir mainīgs lielums,</w:t>
      </w:r>
      <w:r w:rsidR="00FA7898">
        <w:rPr>
          <w:rFonts w:ascii="Times New Roman" w:hAnsi="Times New Roman" w:cs="Times New Roman"/>
        </w:rPr>
        <w:t xml:space="preserve"> </w:t>
      </w:r>
      <w:r w:rsidR="00FA7898" w:rsidRPr="00FA7898">
        <w:rPr>
          <w:rFonts w:ascii="Times New Roman" w:hAnsi="Times New Roman" w:cs="Times New Roman"/>
        </w:rPr>
        <w:t xml:space="preserve">  </w:t>
      </w:r>
      <w:hyperlink r:id="rId5" w:history="1">
        <w:r w:rsidR="001D4796" w:rsidRPr="00BE2FF6">
          <w:rPr>
            <w:rStyle w:val="Hyperlink"/>
            <w:rFonts w:ascii="Times New Roman" w:hAnsi="Times New Roman" w:cs="Times New Roman"/>
          </w:rPr>
          <w:t>https://data.stat.gov.lv/pxweb/lv/OSP_PUB/START__ENT__UF__UFF/UFF050/</w:t>
        </w:r>
      </w:hyperlink>
    </w:p>
    <w:p w14:paraId="4DEC9289" w14:textId="77777777" w:rsidR="001D4796" w:rsidRDefault="001D4796" w:rsidP="003958AE">
      <w:pPr>
        <w:spacing w:line="240" w:lineRule="auto"/>
        <w:jc w:val="both"/>
        <w:rPr>
          <w:rFonts w:ascii="Times New Roman" w:hAnsi="Times New Roman" w:cs="Times New Roman"/>
        </w:rPr>
      </w:pPr>
    </w:p>
    <w:p w14:paraId="1F26F0C0" w14:textId="22997C68" w:rsidR="003F5794" w:rsidRPr="00087903" w:rsidRDefault="00087903" w:rsidP="003958AE">
      <w:pPr>
        <w:spacing w:line="240" w:lineRule="auto"/>
        <w:jc w:val="both"/>
        <w:rPr>
          <w:rFonts w:ascii="Times New Roman" w:hAnsi="Times New Roman" w:cs="Times New Roman"/>
        </w:rPr>
      </w:pPr>
      <w:r>
        <w:rPr>
          <w:rFonts w:ascii="Times New Roman" w:hAnsi="Times New Roman" w:cs="Times New Roman"/>
        </w:rPr>
        <w:t>VTNP lēmums paredz, ka e</w:t>
      </w:r>
      <w:r w:rsidR="003F5794" w:rsidRPr="00087903">
        <w:rPr>
          <w:rFonts w:ascii="Times New Roman" w:hAnsi="Times New Roman" w:cs="Times New Roman"/>
        </w:rPr>
        <w:t>lastības nolūkos ir pieļaujams, ka VTNP sniedzējs atsevišķā gadā varētu saņemt kompensāciju, kuras apmērs pārsniedz neto izmaksas saistībā ar VTNP saistību pildīšanu, ja vien pārmērīga kompensācija nepastāv, skatot pilnvarojuma akta darbības laiku kopumā. Tomēr, lai nepieļautu gadījumus, kad atbalsta saņēmējs saņem pārmērīgu kompensāciju visā līguma</w:t>
      </w:r>
      <w:r>
        <w:rPr>
          <w:rFonts w:ascii="Times New Roman" w:hAnsi="Times New Roman" w:cs="Times New Roman"/>
        </w:rPr>
        <w:t xml:space="preserve"> darbības</w:t>
      </w:r>
      <w:r w:rsidR="003F5794" w:rsidRPr="00087903">
        <w:rPr>
          <w:rFonts w:ascii="Times New Roman" w:hAnsi="Times New Roman" w:cs="Times New Roman"/>
        </w:rPr>
        <w:t xml:space="preserve"> laikā, </w:t>
      </w:r>
      <w:r w:rsidRPr="00087903">
        <w:rPr>
          <w:rFonts w:ascii="Times New Roman" w:hAnsi="Times New Roman" w:cs="Times New Roman"/>
        </w:rPr>
        <w:t>Nacionāl</w:t>
      </w:r>
      <w:r>
        <w:rPr>
          <w:rFonts w:ascii="Times New Roman" w:hAnsi="Times New Roman" w:cs="Times New Roman"/>
        </w:rPr>
        <w:t xml:space="preserve">ajam veselības dienestam </w:t>
      </w:r>
      <w:r w:rsidRPr="00087903">
        <w:rPr>
          <w:rFonts w:ascii="Times New Roman" w:hAnsi="Times New Roman" w:cs="Times New Roman"/>
        </w:rPr>
        <w:t xml:space="preserve"> </w:t>
      </w:r>
      <w:r w:rsidR="003F5794" w:rsidRPr="00087903">
        <w:rPr>
          <w:rFonts w:ascii="Times New Roman" w:hAnsi="Times New Roman" w:cs="Times New Roman"/>
        </w:rPr>
        <w:t xml:space="preserve"> jāveic regulāras starpposma pārbaudes (vismaz reizi trīs gados) pilnvarojuma perioda laikā un tā beigās. Ja uzņēmums ir saņēmis pārmērīgu kompensāciju, kas pārsniedz 10 % no vidējās gada kompensācijas, pilnvarojuma devējam jāiejaucas, lai nodrošinātu, ka kompensācijas mehānisms atbilst pilnvarojuma akta noteikumiem. Pilnvarojuma devējam jānodrošina, ka attiecīgais uzņēmums atmaksā pārmērīgo kompensāciju pilnā apmērā un, ka parametri kompensācijas turpmākai aprēķināšanai tiek atjaunināti nākotnei. Ievērojot VTNP lēmuma </w:t>
      </w:r>
      <w:r w:rsidR="003F5794" w:rsidRPr="00087903">
        <w:rPr>
          <w:rFonts w:ascii="Times New Roman" w:hAnsi="Times New Roman" w:cs="Times New Roman"/>
        </w:rPr>
        <w:lastRenderedPageBreak/>
        <w:t>6.panta 2.punktā noteikto, ka gadījumā, ja pārmērīgas kompensācijas summa nepārsniedz 10 % no vidējās gada kompensācijas summas, šādu kompensāciju var pārnest uz nākamo periodu un atskaitīt no kompensācijas summas, kas jāmaksā par minēto periodu.</w:t>
      </w:r>
    </w:p>
    <w:p w14:paraId="52557C1F" w14:textId="3BC5D4EF" w:rsidR="009C283B" w:rsidRDefault="008C61C4" w:rsidP="003958AE">
      <w:pPr>
        <w:spacing w:line="240" w:lineRule="auto"/>
        <w:jc w:val="both"/>
        <w:rPr>
          <w:rFonts w:ascii="Times New Roman" w:hAnsi="Times New Roman" w:cs="Times New Roman"/>
        </w:rPr>
      </w:pPr>
      <w:r w:rsidRPr="003F5794">
        <w:rPr>
          <w:rFonts w:ascii="Times New Roman" w:hAnsi="Times New Roman" w:cs="Times New Roman"/>
        </w:rPr>
        <w:t>Lai nodrošinātu 2011.gada 1.novembra Ministru kabineta noteikumos Nr.850 „Nacionālā veselības dienesta nolikums” 3. punktā Nacionālam veselības dienestam uzdotās funkcijas veselības aprūpes pakalpojumu saņemšanas iespēju uzraudzībā, valsts budžeta līdzekļu izlietojuma uzraudzībā saskaņā ar noslēgtiem līgumiem un, lai nodrošinātu Eiropas komisijas 2011.gada 20.decembra lēmuma Nr.2012/21/ES par Līguma par Eiropas Savienības darbību 106.panta 2.punkta piemērošanu valsts atbalstam attiecībā uz kompensāciju par sabiedriskajiem pakalpojumiem dažiem uzņēmumiem, kuriem uzticēts sniegt pakalpojumus ar vispārēju tautsaimnieciski nozīmi izpildi</w:t>
      </w:r>
      <w:r w:rsidR="007E30FE" w:rsidRPr="003F5794">
        <w:rPr>
          <w:rFonts w:ascii="Times New Roman" w:hAnsi="Times New Roman" w:cs="Times New Roman"/>
        </w:rPr>
        <w:t xml:space="preserve"> pārskats “Pārskats par līdzekļu izlietojumu ārstniecības iestādē” ir papildināts</w:t>
      </w:r>
      <w:r w:rsidR="00087903">
        <w:rPr>
          <w:rFonts w:ascii="Times New Roman" w:hAnsi="Times New Roman" w:cs="Times New Roman"/>
        </w:rPr>
        <w:t xml:space="preserve">, nosakot nepieciešamību </w:t>
      </w:r>
      <w:r w:rsidR="003A76C4">
        <w:rPr>
          <w:rFonts w:ascii="Times New Roman" w:hAnsi="Times New Roman" w:cs="Times New Roman"/>
        </w:rPr>
        <w:t>uzrādīt saņemto finansējumu no ieguldījumiem pamatkapitālā, no ES fondu finansējuma, no saņemtā finansējuma infrastruktūras uzlabojumiem, iekārtu iegādei u.c</w:t>
      </w:r>
      <w:r w:rsidR="001F762D">
        <w:rPr>
          <w:rFonts w:ascii="Times New Roman" w:hAnsi="Times New Roman" w:cs="Times New Roman"/>
        </w:rPr>
        <w:t xml:space="preserve">. </w:t>
      </w:r>
    </w:p>
    <w:p w14:paraId="5D8EC134" w14:textId="183541FD" w:rsidR="00370EF4" w:rsidRDefault="003217A3" w:rsidP="003958AE">
      <w:pPr>
        <w:spacing w:line="240" w:lineRule="auto"/>
        <w:jc w:val="both"/>
        <w:rPr>
          <w:rFonts w:ascii="Times New Roman" w:hAnsi="Times New Roman" w:cs="Times New Roman"/>
        </w:rPr>
      </w:pPr>
      <w:r>
        <w:rPr>
          <w:rFonts w:ascii="Times New Roman" w:hAnsi="Times New Roman" w:cs="Times New Roman"/>
        </w:rPr>
        <w:t>Pārskata ailēs “pasākumu īstenošanai, infrastruktūras  uzlabojumiem u.c. pasākumiem no valsts budžeta līdzekļiem (tajā skaitā no LNG)” jāiekļauj izmaksas par Co</w:t>
      </w:r>
      <w:r w:rsidR="006C464C">
        <w:rPr>
          <w:rFonts w:ascii="Times New Roman" w:hAnsi="Times New Roman" w:cs="Times New Roman"/>
        </w:rPr>
        <w:t>v</w:t>
      </w:r>
      <w:r>
        <w:rPr>
          <w:rFonts w:ascii="Times New Roman" w:hAnsi="Times New Roman" w:cs="Times New Roman"/>
        </w:rPr>
        <w:t>id19 uzliesmojuma seku mazināšanai piešķirto līdzekļu izlietojumu</w:t>
      </w:r>
      <w:r w:rsidR="00D573E7">
        <w:rPr>
          <w:rFonts w:ascii="Times New Roman" w:hAnsi="Times New Roman" w:cs="Times New Roman"/>
        </w:rPr>
        <w:t>. Līgumos starp</w:t>
      </w:r>
      <w:r w:rsidR="0057784A">
        <w:rPr>
          <w:rFonts w:ascii="Times New Roman" w:hAnsi="Times New Roman" w:cs="Times New Roman"/>
        </w:rPr>
        <w:t xml:space="preserve"> Nacionālo veselības dienestu un ārstniecības iestādi par finansējuma piešķiršanu infrastruktūras uzlabojumiem, celtniecības  darbiem , iekārtu iegādei ir norāde, ka finansējum</w:t>
      </w:r>
      <w:r w:rsidR="00943D03">
        <w:rPr>
          <w:rFonts w:ascii="Times New Roman" w:hAnsi="Times New Roman" w:cs="Times New Roman"/>
        </w:rPr>
        <w:t xml:space="preserve">a </w:t>
      </w:r>
      <w:r w:rsidR="003F08DC">
        <w:rPr>
          <w:rFonts w:ascii="Times New Roman" w:hAnsi="Times New Roman" w:cs="Times New Roman"/>
        </w:rPr>
        <w:t>piešķiršana</w:t>
      </w:r>
      <w:r w:rsidR="0057784A">
        <w:rPr>
          <w:rFonts w:ascii="Times New Roman" w:hAnsi="Times New Roman" w:cs="Times New Roman"/>
        </w:rPr>
        <w:t xml:space="preserve"> atbilst VTNP lēmuma</w:t>
      </w:r>
      <w:r w:rsidR="00943D03">
        <w:rPr>
          <w:rFonts w:ascii="Times New Roman" w:hAnsi="Times New Roman" w:cs="Times New Roman"/>
        </w:rPr>
        <w:t>m</w:t>
      </w:r>
      <w:r w:rsidR="001D4796">
        <w:rPr>
          <w:rFonts w:ascii="Times New Roman" w:hAnsi="Times New Roman" w:cs="Times New Roman"/>
        </w:rPr>
        <w:t>.</w:t>
      </w:r>
    </w:p>
    <w:p w14:paraId="4AC34C61" w14:textId="2E10137A" w:rsidR="003A76C4" w:rsidRDefault="00370EF4" w:rsidP="003958AE">
      <w:pPr>
        <w:spacing w:line="240" w:lineRule="auto"/>
        <w:jc w:val="both"/>
        <w:rPr>
          <w:rFonts w:ascii="Times New Roman" w:hAnsi="Times New Roman" w:cs="Times New Roman"/>
        </w:rPr>
      </w:pPr>
      <w:r>
        <w:rPr>
          <w:rFonts w:ascii="Times New Roman" w:hAnsi="Times New Roman" w:cs="Times New Roman"/>
        </w:rPr>
        <w:t xml:space="preserve">Ārstniecības iestādei kā VTNP sniedzējam nepieciešams izvērtēt </w:t>
      </w:r>
      <w:r w:rsidR="001F762D">
        <w:rPr>
          <w:rFonts w:ascii="Times New Roman" w:hAnsi="Times New Roman" w:cs="Times New Roman"/>
        </w:rPr>
        <w:t xml:space="preserve"> </w:t>
      </w:r>
      <w:r>
        <w:rPr>
          <w:rFonts w:ascii="Times New Roman" w:hAnsi="Times New Roman" w:cs="Times New Roman"/>
        </w:rPr>
        <w:t xml:space="preserve">izmaksu sadalījumu, tos attiecinot uz ambulatoro un stacionāro  veselības aprūpes pakalpojumu veidiem arī pasākumos, kas saistīti ar būvniecību vai </w:t>
      </w:r>
      <w:r w:rsidR="003856B9">
        <w:rPr>
          <w:rFonts w:ascii="Times New Roman" w:hAnsi="Times New Roman" w:cs="Times New Roman"/>
        </w:rPr>
        <w:t>infrastruktūras</w:t>
      </w:r>
      <w:r>
        <w:rPr>
          <w:rFonts w:ascii="Times New Roman" w:hAnsi="Times New Roman" w:cs="Times New Roman"/>
        </w:rPr>
        <w:t xml:space="preserve"> uzlabojumiem (piemēram, ārstniecības korpusa jumta nomaiņa,  medicīniskās iekārtas iegāde u.c.).</w:t>
      </w:r>
    </w:p>
    <w:p w14:paraId="39C7FD79" w14:textId="77777777" w:rsidR="009C283B" w:rsidRDefault="009C283B" w:rsidP="003958AE">
      <w:pPr>
        <w:spacing w:line="240" w:lineRule="auto"/>
        <w:jc w:val="both"/>
        <w:rPr>
          <w:rFonts w:ascii="Times New Roman" w:hAnsi="Times New Roman" w:cs="Times New Roman"/>
        </w:rPr>
      </w:pPr>
    </w:p>
    <w:p w14:paraId="1B4847B7" w14:textId="3EF4021C" w:rsidR="00570C1C" w:rsidRDefault="00570C1C" w:rsidP="003958AE">
      <w:pPr>
        <w:spacing w:line="240" w:lineRule="auto"/>
        <w:jc w:val="both"/>
        <w:rPr>
          <w:rFonts w:ascii="Times New Roman" w:hAnsi="Times New Roman" w:cs="Times New Roman"/>
        </w:rPr>
      </w:pPr>
    </w:p>
    <w:sectPr w:rsidR="00570C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C067B"/>
    <w:multiLevelType w:val="hybridMultilevel"/>
    <w:tmpl w:val="C002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AE"/>
    <w:rsid w:val="000101E0"/>
    <w:rsid w:val="00087903"/>
    <w:rsid w:val="001D4796"/>
    <w:rsid w:val="001F762D"/>
    <w:rsid w:val="0021643B"/>
    <w:rsid w:val="0022051C"/>
    <w:rsid w:val="0023032B"/>
    <w:rsid w:val="002E4DE0"/>
    <w:rsid w:val="002F240E"/>
    <w:rsid w:val="003217A3"/>
    <w:rsid w:val="00370EF4"/>
    <w:rsid w:val="003856B9"/>
    <w:rsid w:val="003958AE"/>
    <w:rsid w:val="00397FA9"/>
    <w:rsid w:val="003A76C4"/>
    <w:rsid w:val="003F08DC"/>
    <w:rsid w:val="003F5794"/>
    <w:rsid w:val="00570C1C"/>
    <w:rsid w:val="0057784A"/>
    <w:rsid w:val="00596340"/>
    <w:rsid w:val="006C464C"/>
    <w:rsid w:val="007E30FE"/>
    <w:rsid w:val="008C61C4"/>
    <w:rsid w:val="008F5CF3"/>
    <w:rsid w:val="00943D03"/>
    <w:rsid w:val="009C283B"/>
    <w:rsid w:val="00A7566C"/>
    <w:rsid w:val="00CA4B46"/>
    <w:rsid w:val="00D573E7"/>
    <w:rsid w:val="00DF2E58"/>
    <w:rsid w:val="00FA7898"/>
    <w:rsid w:val="00FE0D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ED69"/>
  <w15:chartTrackingRefBased/>
  <w15:docId w15:val="{C3534458-B38C-434C-A922-69675BEC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58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D4796"/>
    <w:rPr>
      <w:color w:val="0563C1" w:themeColor="hyperlink"/>
      <w:u w:val="single"/>
    </w:rPr>
  </w:style>
  <w:style w:type="character" w:styleId="UnresolvedMention">
    <w:name w:val="Unresolved Mention"/>
    <w:basedOn w:val="DefaultParagraphFont"/>
    <w:uiPriority w:val="99"/>
    <w:semiHidden/>
    <w:unhideWhenUsed/>
    <w:rsid w:val="001D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stat.gov.lv/pxweb/lv/OSP_PUB/START__ENT__UF__UFF/UFF0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3896</Words>
  <Characters>2221</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Zandovska</dc:creator>
  <cp:keywords/>
  <dc:description/>
  <cp:lastModifiedBy>Gunita Nadziņa</cp:lastModifiedBy>
  <cp:revision>2</cp:revision>
  <dcterms:created xsi:type="dcterms:W3CDTF">2022-02-09T09:10:00Z</dcterms:created>
  <dcterms:modified xsi:type="dcterms:W3CDTF">2022-02-09T09:10:00Z</dcterms:modified>
</cp:coreProperties>
</file>