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1EC7" w14:textId="77777777" w:rsidR="00B86724" w:rsidRPr="00F964E8" w:rsidRDefault="00B86724" w:rsidP="00B8672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4AA">
        <w:rPr>
          <w:rFonts w:ascii="Times New Roman" w:hAnsi="Times New Roman" w:cs="Times New Roman"/>
          <w:b/>
          <w:sz w:val="24"/>
          <w:szCs w:val="24"/>
        </w:rPr>
        <w:t>11</w:t>
      </w:r>
      <w:r w:rsidRPr="00F964E8">
        <w:rPr>
          <w:rFonts w:ascii="Times New Roman" w:hAnsi="Times New Roman" w:cs="Times New Roman"/>
          <w:b/>
          <w:sz w:val="24"/>
          <w:szCs w:val="24"/>
        </w:rPr>
        <w:t>.pielikums</w:t>
      </w:r>
      <w:r w:rsidR="006F0BB4" w:rsidRPr="00F964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F77056" w14:textId="77777777" w:rsidR="00B86724" w:rsidRPr="00F964E8" w:rsidRDefault="00B86724" w:rsidP="00B8672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 xml:space="preserve">2020.gada </w:t>
      </w:r>
      <w:r w:rsidR="00EB0EAF">
        <w:rPr>
          <w:rFonts w:ascii="Times New Roman" w:hAnsi="Times New Roman" w:cs="Times New Roman"/>
          <w:sz w:val="24"/>
          <w:szCs w:val="24"/>
        </w:rPr>
        <w:t>6.aprīļa</w:t>
      </w:r>
    </w:p>
    <w:p w14:paraId="199D8E5A" w14:textId="77777777" w:rsidR="00B86724" w:rsidRPr="00F964E8" w:rsidRDefault="00B86724" w:rsidP="00B8672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 xml:space="preserve">līgumam par nacionālās references laboratorijas </w:t>
      </w:r>
    </w:p>
    <w:p w14:paraId="4C6AD6F4" w14:textId="77777777" w:rsidR="00B86724" w:rsidRPr="00F964E8" w:rsidRDefault="00B86724" w:rsidP="00B8672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>pienākumu veikšanu un finansēšanu</w:t>
      </w:r>
    </w:p>
    <w:p w14:paraId="39C53AB0" w14:textId="77777777" w:rsidR="00932787" w:rsidRPr="00F964E8" w:rsidRDefault="00932787" w:rsidP="00932787">
      <w:pPr>
        <w:spacing w:after="0" w:line="240" w:lineRule="auto"/>
        <w:ind w:left="851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6948ED" w14:textId="77777777" w:rsidR="00454913" w:rsidRPr="00F964E8" w:rsidRDefault="008E3205" w:rsidP="007948BC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E8">
        <w:rPr>
          <w:rFonts w:ascii="Times New Roman" w:hAnsi="Times New Roman" w:cs="Times New Roman"/>
          <w:b/>
          <w:sz w:val="24"/>
          <w:szCs w:val="24"/>
        </w:rPr>
        <w:t>Par ambulatoro laboratorisko veselības aprūpes pakalpojumu sniegšanas un apmaksas kārtību</w:t>
      </w:r>
      <w:r w:rsidRPr="00F964E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54913" w:rsidRPr="00F964E8">
        <w:rPr>
          <w:rStyle w:val="Strong"/>
          <w:rFonts w:ascii="Times New Roman" w:hAnsi="Times New Roman" w:cs="Times New Roman"/>
          <w:sz w:val="24"/>
          <w:szCs w:val="24"/>
        </w:rPr>
        <w:t>Covid-19 pandēmijas laikā</w:t>
      </w:r>
    </w:p>
    <w:p w14:paraId="081FA7E2" w14:textId="77777777" w:rsidR="00454913" w:rsidRPr="00F964E8" w:rsidRDefault="00454913" w:rsidP="007948B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783F46" w14:textId="77777777" w:rsidR="00B148A0" w:rsidRPr="00D9520C" w:rsidRDefault="00932787" w:rsidP="007948BC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color w:val="000000"/>
          <w:sz w:val="24"/>
          <w:szCs w:val="24"/>
        </w:rPr>
        <w:t>IZPILDĪTĀJS</w:t>
      </w:r>
      <w:r w:rsidR="00F849AC" w:rsidRPr="00F964E8">
        <w:rPr>
          <w:rFonts w:ascii="Times New Roman" w:hAnsi="Times New Roman" w:cs="Times New Roman"/>
          <w:sz w:val="24"/>
          <w:szCs w:val="24"/>
        </w:rPr>
        <w:t xml:space="preserve">, organizējot un sniedzot personām </w:t>
      </w:r>
      <w:r w:rsidR="002946A2" w:rsidRPr="00F964E8">
        <w:rPr>
          <w:rFonts w:ascii="Times New Roman" w:hAnsi="Times New Roman" w:cs="Times New Roman"/>
          <w:sz w:val="24"/>
          <w:szCs w:val="24"/>
        </w:rPr>
        <w:t xml:space="preserve">ambulatoros laboratoriskos veselības aprūpes pakalpojumus </w:t>
      </w:r>
      <w:r w:rsidR="00F849AC" w:rsidRPr="00BE2EAE">
        <w:rPr>
          <w:rFonts w:ascii="Times New Roman" w:hAnsi="Times New Roman" w:cs="Times New Roman"/>
          <w:sz w:val="24"/>
          <w:szCs w:val="24"/>
        </w:rPr>
        <w:t>koronavīrusa COVID-19 pandēmijas laikā</w:t>
      </w:r>
      <w:r w:rsidR="001B73A8" w:rsidRPr="00D9520C">
        <w:rPr>
          <w:rFonts w:ascii="Times New Roman" w:hAnsi="Times New Roman" w:cs="Times New Roman"/>
          <w:sz w:val="24"/>
          <w:szCs w:val="24"/>
        </w:rPr>
        <w:t xml:space="preserve"> </w:t>
      </w:r>
      <w:r w:rsidR="001B73A8" w:rsidRPr="00D9520C">
        <w:rPr>
          <w:rFonts w:ascii="Times New Roman" w:hAnsi="Times New Roman" w:cs="Times New Roman"/>
          <w:sz w:val="24"/>
          <w:szCs w:val="24"/>
          <w:lang w:eastAsia="lv-LV"/>
        </w:rPr>
        <w:t xml:space="preserve">līdz brīdim, kamēr valstī </w:t>
      </w:r>
      <w:r w:rsidR="007A4F80" w:rsidRPr="00D9520C">
        <w:rPr>
          <w:rFonts w:ascii="Times New Roman" w:hAnsi="Times New Roman" w:cs="Times New Roman"/>
          <w:sz w:val="24"/>
          <w:szCs w:val="24"/>
          <w:lang w:eastAsia="lv-LV"/>
        </w:rPr>
        <w:t>tiek</w:t>
      </w:r>
      <w:r w:rsidR="001B73A8" w:rsidRPr="00D9520C">
        <w:rPr>
          <w:rFonts w:ascii="Times New Roman" w:hAnsi="Times New Roman" w:cs="Times New Roman"/>
          <w:sz w:val="24"/>
          <w:szCs w:val="24"/>
          <w:lang w:eastAsia="lv-LV"/>
        </w:rPr>
        <w:t xml:space="preserve"> atcelta ārkārtējā situācija, vai citam brīdim, par ko D</w:t>
      </w:r>
      <w:r w:rsidR="004A545E" w:rsidRPr="00D9520C">
        <w:rPr>
          <w:rFonts w:ascii="Times New Roman" w:hAnsi="Times New Roman" w:cs="Times New Roman"/>
          <w:sz w:val="24"/>
          <w:szCs w:val="24"/>
          <w:lang w:eastAsia="lv-LV"/>
        </w:rPr>
        <w:t>IENESTS</w:t>
      </w:r>
      <w:r w:rsidR="001B73A8" w:rsidRPr="00D9520C">
        <w:rPr>
          <w:rFonts w:ascii="Times New Roman" w:hAnsi="Times New Roman" w:cs="Times New Roman"/>
          <w:sz w:val="24"/>
          <w:szCs w:val="24"/>
          <w:lang w:eastAsia="lv-LV"/>
        </w:rPr>
        <w:t xml:space="preserve"> informēs atsevišķi</w:t>
      </w:r>
      <w:r w:rsidR="00F849AC" w:rsidRPr="00D9520C">
        <w:rPr>
          <w:rFonts w:ascii="Times New Roman" w:hAnsi="Times New Roman" w:cs="Times New Roman"/>
          <w:sz w:val="24"/>
          <w:szCs w:val="24"/>
        </w:rPr>
        <w:t>:</w:t>
      </w:r>
    </w:p>
    <w:p w14:paraId="3D2046C8" w14:textId="77777777" w:rsidR="00D9520C" w:rsidRPr="00F964E8" w:rsidRDefault="00D9520C" w:rsidP="00F964E8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A484525" w14:textId="77777777" w:rsidR="00863192" w:rsidRPr="005B6BF2" w:rsidRDefault="008F2366" w:rsidP="00E85419">
      <w:pPr>
        <w:pStyle w:val="ListParagraph"/>
        <w:numPr>
          <w:ilvl w:val="1"/>
          <w:numId w:val="2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>n</w:t>
      </w:r>
      <w:r w:rsidR="00B148A0" w:rsidRPr="00F964E8">
        <w:rPr>
          <w:rFonts w:ascii="Times New Roman" w:hAnsi="Times New Roman" w:cs="Times New Roman"/>
          <w:sz w:val="24"/>
          <w:szCs w:val="24"/>
        </w:rPr>
        <w:t xml:space="preserve">odrošina </w:t>
      </w:r>
      <w:r w:rsidR="002946A2" w:rsidRPr="00F964E8">
        <w:rPr>
          <w:rFonts w:ascii="Times New Roman" w:hAnsi="Times New Roman" w:cs="Times New Roman"/>
          <w:sz w:val="24"/>
          <w:szCs w:val="24"/>
        </w:rPr>
        <w:t>ā</w:t>
      </w:r>
      <w:r w:rsidR="001506D2" w:rsidRPr="00F964E8">
        <w:rPr>
          <w:rFonts w:ascii="Times New Roman" w:hAnsi="Times New Roman" w:cs="Times New Roman"/>
          <w:sz w:val="24"/>
          <w:szCs w:val="24"/>
        </w:rPr>
        <w:t>rstniecības iestādēm, k</w:t>
      </w:r>
      <w:r w:rsidR="009F5AED" w:rsidRPr="00F964E8">
        <w:rPr>
          <w:rFonts w:ascii="Times New Roman" w:hAnsi="Times New Roman" w:cs="Times New Roman"/>
          <w:sz w:val="24"/>
          <w:szCs w:val="24"/>
        </w:rPr>
        <w:t>a</w:t>
      </w:r>
      <w:r w:rsidR="001506D2" w:rsidRPr="00F964E8">
        <w:rPr>
          <w:rFonts w:ascii="Times New Roman" w:hAnsi="Times New Roman" w:cs="Times New Roman"/>
          <w:sz w:val="24"/>
          <w:szCs w:val="24"/>
        </w:rPr>
        <w:t xml:space="preserve">s sniedz stacionāros </w:t>
      </w:r>
      <w:r w:rsidR="00DA669B">
        <w:rPr>
          <w:rFonts w:ascii="Times New Roman" w:hAnsi="Times New Roman" w:cs="Times New Roman"/>
          <w:sz w:val="24"/>
          <w:szCs w:val="24"/>
        </w:rPr>
        <w:t xml:space="preserve">veselības aprūpes </w:t>
      </w:r>
      <w:r w:rsidR="001506D2" w:rsidRPr="00F964E8">
        <w:rPr>
          <w:rFonts w:ascii="Times New Roman" w:hAnsi="Times New Roman" w:cs="Times New Roman"/>
          <w:sz w:val="24"/>
          <w:szCs w:val="24"/>
        </w:rPr>
        <w:t>pakalpojumus</w:t>
      </w:r>
      <w:r w:rsidR="002946A2" w:rsidRPr="00F964E8">
        <w:rPr>
          <w:rFonts w:ascii="Times New Roman" w:hAnsi="Times New Roman" w:cs="Times New Roman"/>
          <w:sz w:val="24"/>
          <w:szCs w:val="24"/>
        </w:rPr>
        <w:t>,</w:t>
      </w:r>
      <w:r w:rsidR="001506D2" w:rsidRPr="00F964E8">
        <w:rPr>
          <w:rFonts w:ascii="Times New Roman" w:hAnsi="Times New Roman" w:cs="Times New Roman"/>
          <w:sz w:val="24"/>
          <w:szCs w:val="24"/>
        </w:rPr>
        <w:t xml:space="preserve"> Neatliekamās medicīniskās </w:t>
      </w:r>
      <w:r w:rsidR="001506D2" w:rsidRPr="005B6BF2">
        <w:rPr>
          <w:rFonts w:ascii="Times New Roman" w:hAnsi="Times New Roman" w:cs="Times New Roman"/>
          <w:sz w:val="24"/>
          <w:szCs w:val="24"/>
        </w:rPr>
        <w:t>palīdzības dienestam un SIA “Centrāl</w:t>
      </w:r>
      <w:r w:rsidR="00542515" w:rsidRPr="005B6BF2">
        <w:rPr>
          <w:rFonts w:ascii="Times New Roman" w:hAnsi="Times New Roman" w:cs="Times New Roman"/>
          <w:sz w:val="24"/>
          <w:szCs w:val="24"/>
        </w:rPr>
        <w:t>ā</w:t>
      </w:r>
      <w:r w:rsidR="001506D2" w:rsidRPr="005B6BF2">
        <w:rPr>
          <w:rFonts w:ascii="Times New Roman" w:hAnsi="Times New Roman" w:cs="Times New Roman"/>
          <w:sz w:val="24"/>
          <w:szCs w:val="24"/>
        </w:rPr>
        <w:t xml:space="preserve"> laboratorija”</w:t>
      </w:r>
      <w:r w:rsidR="006F0BB4" w:rsidRPr="005B6BF2">
        <w:rPr>
          <w:rFonts w:ascii="Times New Roman" w:hAnsi="Times New Roman" w:cs="Times New Roman"/>
          <w:sz w:val="24"/>
          <w:szCs w:val="24"/>
        </w:rPr>
        <w:t xml:space="preserve"> (turpmāk</w:t>
      </w:r>
      <w:r w:rsidR="00542515" w:rsidRPr="005B6BF2">
        <w:rPr>
          <w:rFonts w:ascii="Times New Roman" w:hAnsi="Times New Roman" w:cs="Times New Roman"/>
          <w:sz w:val="24"/>
          <w:szCs w:val="24"/>
        </w:rPr>
        <w:t xml:space="preserve"> - </w:t>
      </w:r>
      <w:r w:rsidR="006F0BB4" w:rsidRPr="005B6BF2">
        <w:rPr>
          <w:rFonts w:ascii="Times New Roman" w:hAnsi="Times New Roman" w:cs="Times New Roman"/>
          <w:sz w:val="24"/>
          <w:szCs w:val="24"/>
        </w:rPr>
        <w:t>Iestādes) transporta barotnes molekulāri bioloģiskiem izmeklējumiem</w:t>
      </w:r>
      <w:r w:rsidR="00374B9A" w:rsidRPr="005B6BF2">
        <w:rPr>
          <w:rFonts w:ascii="Times New Roman" w:hAnsi="Times New Roman" w:cs="Times New Roman"/>
          <w:sz w:val="24"/>
          <w:szCs w:val="24"/>
        </w:rPr>
        <w:t xml:space="preserve"> </w:t>
      </w:r>
      <w:r w:rsidR="006F0BB4" w:rsidRPr="005B6BF2">
        <w:rPr>
          <w:rFonts w:ascii="Times New Roman" w:hAnsi="Times New Roman" w:cs="Times New Roman"/>
          <w:sz w:val="24"/>
          <w:szCs w:val="24"/>
        </w:rPr>
        <w:t>(turpmāk</w:t>
      </w:r>
      <w:r w:rsidR="00542515" w:rsidRPr="005B6BF2">
        <w:rPr>
          <w:rFonts w:ascii="Times New Roman" w:hAnsi="Times New Roman" w:cs="Times New Roman"/>
          <w:sz w:val="24"/>
          <w:szCs w:val="24"/>
        </w:rPr>
        <w:t xml:space="preserve"> - </w:t>
      </w:r>
      <w:r w:rsidR="006F0BB4" w:rsidRPr="005B6BF2">
        <w:rPr>
          <w:rFonts w:ascii="Times New Roman" w:hAnsi="Times New Roman" w:cs="Times New Roman"/>
          <w:sz w:val="24"/>
          <w:szCs w:val="24"/>
        </w:rPr>
        <w:t xml:space="preserve">Konteiners) personu izmeklējamā materiāla uz koronavīrusa SARS-CoV-2 (turpmāk – Paraugs) transportēšanai. Konteineri </w:t>
      </w:r>
      <w:r w:rsidR="00B66177" w:rsidRPr="005B6BF2">
        <w:rPr>
          <w:rFonts w:ascii="Times New Roman" w:hAnsi="Times New Roman" w:cs="Times New Roman"/>
          <w:sz w:val="24"/>
          <w:szCs w:val="24"/>
        </w:rPr>
        <w:t xml:space="preserve">Iestādei </w:t>
      </w:r>
      <w:r w:rsidR="006F0BB4" w:rsidRPr="005B6BF2">
        <w:rPr>
          <w:rFonts w:ascii="Times New Roman" w:hAnsi="Times New Roman" w:cs="Times New Roman"/>
          <w:sz w:val="24"/>
          <w:szCs w:val="24"/>
        </w:rPr>
        <w:t>tiek  izsniegti</w:t>
      </w:r>
      <w:r w:rsidR="006E3EA2" w:rsidRPr="005B6BF2">
        <w:rPr>
          <w:rFonts w:ascii="Times New Roman" w:hAnsi="Times New Roman" w:cs="Times New Roman"/>
          <w:sz w:val="24"/>
          <w:szCs w:val="24"/>
        </w:rPr>
        <w:t xml:space="preserve"> </w:t>
      </w:r>
      <w:r w:rsidR="009F5AED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>Linezera ielā 3</w:t>
      </w:r>
      <w:r w:rsidR="00542515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>, Rīgā</w:t>
      </w:r>
      <w:r w:rsidR="00CE1368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9F5AED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no plkst. 8</w:t>
      </w:r>
      <w:r w:rsidR="00BA17D8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9F5AED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>00</w:t>
      </w:r>
      <w:r w:rsidR="00DB07D6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līdz </w:t>
      </w:r>
      <w:r w:rsidR="009F5AED" w:rsidRPr="005B6BF2">
        <w:rPr>
          <w:rStyle w:val="Strong"/>
          <w:rFonts w:ascii="Times New Roman" w:hAnsi="Times New Roman" w:cs="Times New Roman"/>
          <w:b w:val="0"/>
          <w:sz w:val="24"/>
          <w:szCs w:val="24"/>
        </w:rPr>
        <w:t>24:00</w:t>
      </w:r>
      <w:r w:rsidR="006E3EA2" w:rsidRPr="005B6BF2">
        <w:rPr>
          <w:rFonts w:ascii="Times New Roman" w:hAnsi="Times New Roman" w:cs="Times New Roman"/>
          <w:sz w:val="24"/>
          <w:szCs w:val="24"/>
        </w:rPr>
        <w:t>,</w:t>
      </w:r>
      <w:r w:rsidR="00B66177" w:rsidRPr="005B6BF2">
        <w:rPr>
          <w:rFonts w:ascii="Times New Roman" w:hAnsi="Times New Roman" w:cs="Times New Roman"/>
          <w:sz w:val="24"/>
          <w:szCs w:val="24"/>
        </w:rPr>
        <w:t xml:space="preserve"> </w:t>
      </w:r>
      <w:r w:rsidR="00B539B2" w:rsidRPr="005B6BF2">
        <w:rPr>
          <w:rFonts w:ascii="Times New Roman" w:hAnsi="Times New Roman" w:cs="Times New Roman"/>
          <w:sz w:val="24"/>
          <w:szCs w:val="24"/>
        </w:rPr>
        <w:t xml:space="preserve">pamatojoties uz aizpildītu pieteikuma veidlapu Konteineru saņemšanai, kas ir pieejama </w:t>
      </w:r>
      <w:r w:rsidR="009F5AED" w:rsidRPr="005B6BF2">
        <w:rPr>
          <w:rFonts w:ascii="Times New Roman" w:hAnsi="Times New Roman" w:cs="Times New Roman"/>
          <w:sz w:val="24"/>
          <w:szCs w:val="24"/>
        </w:rPr>
        <w:t>IZPILDĪTĀJA mājaslap</w:t>
      </w:r>
      <w:r w:rsidR="000D296E" w:rsidRPr="005B6BF2">
        <w:rPr>
          <w:rFonts w:ascii="Times New Roman" w:hAnsi="Times New Roman" w:cs="Times New Roman"/>
          <w:sz w:val="24"/>
          <w:szCs w:val="24"/>
        </w:rPr>
        <w:t>as vietnē</w:t>
      </w:r>
      <w:r w:rsidR="006E3EA2" w:rsidRPr="005B6BF2">
        <w:rPr>
          <w:rFonts w:ascii="Times New Roman" w:hAnsi="Times New Roman" w:cs="Times New Roman"/>
          <w:sz w:val="24"/>
          <w:szCs w:val="24"/>
        </w:rPr>
        <w:t>;</w:t>
      </w:r>
    </w:p>
    <w:p w14:paraId="619151CA" w14:textId="77777777" w:rsidR="00D9520C" w:rsidRPr="005B6BF2" w:rsidRDefault="00D9520C" w:rsidP="00F964E8">
      <w:pPr>
        <w:pStyle w:val="ListParagraph"/>
        <w:spacing w:after="0" w:line="240" w:lineRule="auto"/>
        <w:ind w:left="184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EFB98D0" w14:textId="77777777" w:rsidR="00DB07D6" w:rsidRPr="005B6BF2" w:rsidRDefault="00DB07D6" w:rsidP="00F964E8">
      <w:pPr>
        <w:pStyle w:val="ListParagraph"/>
        <w:numPr>
          <w:ilvl w:val="1"/>
          <w:numId w:val="2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670901" w:rsidRPr="005B6BF2">
        <w:rPr>
          <w:rFonts w:ascii="Times New Roman" w:hAnsi="Times New Roman" w:cs="Times New Roman"/>
          <w:sz w:val="24"/>
          <w:szCs w:val="24"/>
        </w:rPr>
        <w:t>P</w:t>
      </w:r>
      <w:r w:rsidRPr="005B6BF2">
        <w:rPr>
          <w:rFonts w:ascii="Times New Roman" w:hAnsi="Times New Roman" w:cs="Times New Roman"/>
          <w:sz w:val="24"/>
          <w:szCs w:val="24"/>
        </w:rPr>
        <w:t xml:space="preserve">araugu pieņemšanu no Iestādēm </w:t>
      </w:r>
      <w:r w:rsidR="00EC599F" w:rsidRPr="005B6BF2">
        <w:rPr>
          <w:rFonts w:ascii="Times New Roman" w:hAnsi="Times New Roman" w:cs="Times New Roman"/>
          <w:sz w:val="24"/>
          <w:szCs w:val="24"/>
        </w:rPr>
        <w:t xml:space="preserve">visu diennakti (24/7) </w:t>
      </w:r>
      <w:r w:rsidRPr="005B6BF2">
        <w:rPr>
          <w:rFonts w:ascii="Times New Roman" w:hAnsi="Times New Roman" w:cs="Times New Roman"/>
          <w:sz w:val="24"/>
          <w:szCs w:val="24"/>
        </w:rPr>
        <w:t xml:space="preserve">Linezera ielā 3, </w:t>
      </w:r>
      <w:r w:rsidR="00B66177" w:rsidRPr="005B6BF2">
        <w:rPr>
          <w:rFonts w:ascii="Times New Roman" w:hAnsi="Times New Roman" w:cs="Times New Roman"/>
          <w:sz w:val="24"/>
          <w:szCs w:val="24"/>
        </w:rPr>
        <w:t xml:space="preserve">Rīgā, </w:t>
      </w:r>
      <w:r w:rsidRPr="005B6BF2">
        <w:rPr>
          <w:rFonts w:ascii="Times New Roman" w:hAnsi="Times New Roman" w:cs="Times New Roman"/>
          <w:sz w:val="24"/>
          <w:szCs w:val="24"/>
        </w:rPr>
        <w:t>kopā ar IZPILDĪTĀJA sagatavotu nosūtījuma veidlapu, kas izvietota IZPILDĪTĀJA mājaslapas vietnē;</w:t>
      </w:r>
      <w:r w:rsidR="00B66177" w:rsidRPr="005B6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222A7" w14:textId="77777777" w:rsidR="00D9520C" w:rsidRPr="005B6BF2" w:rsidRDefault="00D9520C" w:rsidP="00F964E8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9983842" w14:textId="77777777" w:rsidR="006F0BB4" w:rsidRPr="005B6BF2" w:rsidRDefault="0016210C" w:rsidP="00F964E8">
      <w:pPr>
        <w:pStyle w:val="ListParagraph"/>
        <w:numPr>
          <w:ilvl w:val="1"/>
          <w:numId w:val="2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>nodrošina</w:t>
      </w:r>
      <w:r w:rsidR="00932787" w:rsidRPr="005B6BF2">
        <w:rPr>
          <w:rFonts w:ascii="Times New Roman" w:hAnsi="Times New Roman" w:cs="Times New Roman"/>
          <w:sz w:val="24"/>
          <w:szCs w:val="24"/>
        </w:rPr>
        <w:t xml:space="preserve"> </w:t>
      </w:r>
      <w:r w:rsidR="00A1457A" w:rsidRPr="005B6BF2">
        <w:rPr>
          <w:rFonts w:ascii="Times New Roman" w:hAnsi="Times New Roman" w:cs="Times New Roman"/>
          <w:sz w:val="24"/>
          <w:szCs w:val="24"/>
        </w:rPr>
        <w:t xml:space="preserve">visu </w:t>
      </w:r>
      <w:r w:rsidR="00285E0E" w:rsidRPr="005B6BF2">
        <w:rPr>
          <w:rFonts w:ascii="Times New Roman" w:hAnsi="Times New Roman" w:cs="Times New Roman"/>
          <w:sz w:val="24"/>
          <w:szCs w:val="24"/>
        </w:rPr>
        <w:t xml:space="preserve">paņemto Paraugu </w:t>
      </w:r>
      <w:r w:rsidRPr="005B6BF2">
        <w:rPr>
          <w:rFonts w:ascii="Times New Roman" w:hAnsi="Times New Roman" w:cs="Times New Roman"/>
          <w:sz w:val="24"/>
          <w:szCs w:val="24"/>
        </w:rPr>
        <w:t>laboratori</w:t>
      </w:r>
      <w:r w:rsidR="004F5BEA" w:rsidRPr="005B6BF2">
        <w:rPr>
          <w:rFonts w:ascii="Times New Roman" w:hAnsi="Times New Roman" w:cs="Times New Roman"/>
          <w:sz w:val="24"/>
          <w:szCs w:val="24"/>
        </w:rPr>
        <w:t>sko izmeklējumu veikšanu</w:t>
      </w:r>
      <w:r w:rsidR="00863192" w:rsidRPr="005B6BF2">
        <w:rPr>
          <w:rFonts w:ascii="Times New Roman" w:hAnsi="Times New Roman" w:cs="Times New Roman"/>
          <w:sz w:val="24"/>
          <w:szCs w:val="24"/>
        </w:rPr>
        <w:t>, tai skaitā prioritāri testējamām pacientu grupām (ja pieteikšanās brīdī tādas ir noteiktas)</w:t>
      </w:r>
      <w:r w:rsidR="00CB7865" w:rsidRPr="005B6BF2">
        <w:rPr>
          <w:rFonts w:ascii="Times New Roman" w:hAnsi="Times New Roman" w:cs="Times New Roman"/>
          <w:sz w:val="24"/>
          <w:szCs w:val="24"/>
        </w:rPr>
        <w:t>,</w:t>
      </w:r>
      <w:r w:rsidR="006F0BB4" w:rsidRPr="005B6BF2">
        <w:rPr>
          <w:rFonts w:ascii="Times New Roman" w:hAnsi="Times New Roman" w:cs="Times New Roman"/>
          <w:sz w:val="24"/>
          <w:szCs w:val="24"/>
        </w:rPr>
        <w:t xml:space="preserve"> un to uzskaiti uz personu veidlapā Nr.024/u “Ambulatorais pacienta talons” un informācij</w:t>
      </w:r>
      <w:r w:rsidR="00A44D16" w:rsidRPr="005B6BF2">
        <w:rPr>
          <w:rFonts w:ascii="Times New Roman" w:hAnsi="Times New Roman" w:cs="Times New Roman"/>
          <w:sz w:val="24"/>
          <w:szCs w:val="24"/>
        </w:rPr>
        <w:t>as</w:t>
      </w:r>
      <w:r w:rsidR="006F0BB4" w:rsidRPr="005B6BF2">
        <w:rPr>
          <w:rFonts w:ascii="Times New Roman" w:hAnsi="Times New Roman" w:cs="Times New Roman"/>
          <w:sz w:val="24"/>
          <w:szCs w:val="24"/>
        </w:rPr>
        <w:t xml:space="preserve"> ievad</w:t>
      </w:r>
      <w:r w:rsidR="002B41E4" w:rsidRPr="005B6BF2">
        <w:rPr>
          <w:rFonts w:ascii="Times New Roman" w:hAnsi="Times New Roman" w:cs="Times New Roman"/>
          <w:sz w:val="24"/>
          <w:szCs w:val="24"/>
        </w:rPr>
        <w:t>i</w:t>
      </w:r>
      <w:r w:rsidR="006F0BB4" w:rsidRPr="005B6BF2">
        <w:rPr>
          <w:rFonts w:ascii="Times New Roman" w:hAnsi="Times New Roman" w:cs="Times New Roman"/>
          <w:sz w:val="24"/>
          <w:szCs w:val="24"/>
        </w:rPr>
        <w:t xml:space="preserve"> Veselības aprūpes pakalpojumu apmaksas norēķinu sistēmā „Vadības informācijas sistēma” (turpmāk – VIS) </w:t>
      </w:r>
      <w:r w:rsidR="00A44D16" w:rsidRPr="005B6BF2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875BF0" w:rsidRPr="005B6BF2">
        <w:rPr>
          <w:rFonts w:ascii="Times New Roman" w:hAnsi="Times New Roman" w:cs="Times New Roman"/>
          <w:sz w:val="24"/>
          <w:szCs w:val="24"/>
        </w:rPr>
        <w:t>līguma par nacionālās references laboratorijas pienākumu veikšanu un finansēšanu (turpmāk – Līgums)</w:t>
      </w:r>
      <w:r w:rsidR="00A44D16" w:rsidRPr="005B6BF2">
        <w:rPr>
          <w:rFonts w:ascii="Times New Roman" w:hAnsi="Times New Roman" w:cs="Times New Roman"/>
          <w:sz w:val="24"/>
          <w:szCs w:val="24"/>
        </w:rPr>
        <w:t xml:space="preserve"> 4.pielikuma 4.punkta nosacījumiem, </w:t>
      </w:r>
      <w:r w:rsidR="006F0BB4" w:rsidRPr="005B6BF2">
        <w:rPr>
          <w:rFonts w:ascii="Times New Roman" w:hAnsi="Times New Roman" w:cs="Times New Roman"/>
          <w:sz w:val="24"/>
          <w:szCs w:val="24"/>
        </w:rPr>
        <w:t>norādot statistikas uzskaites manipulācijas:</w:t>
      </w:r>
    </w:p>
    <w:p w14:paraId="5FB322C7" w14:textId="77777777" w:rsidR="006F0BB4" w:rsidRPr="005B6BF2" w:rsidRDefault="006F0BB4" w:rsidP="00F964E8">
      <w:pPr>
        <w:pStyle w:val="ListParagraph"/>
        <w:numPr>
          <w:ilvl w:val="2"/>
          <w:numId w:val="25"/>
        </w:numPr>
        <w:spacing w:after="0" w:line="240" w:lineRule="auto"/>
        <w:ind w:left="1843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>47073R – “</w:t>
      </w:r>
      <w:r w:rsidR="000C6430" w:rsidRPr="005B6BF2">
        <w:rPr>
          <w:rFonts w:ascii="Times New Roman" w:hAnsi="Times New Roman" w:cs="Times New Roman"/>
          <w:sz w:val="24"/>
          <w:szCs w:val="24"/>
        </w:rPr>
        <w:t xml:space="preserve">R </w:t>
      </w:r>
      <w:r w:rsidR="008167B8" w:rsidRPr="005B6BF2">
        <w:rPr>
          <w:rFonts w:ascii="Times New Roman" w:hAnsi="Times New Roman" w:cs="Times New Roman"/>
          <w:sz w:val="24"/>
          <w:szCs w:val="24"/>
        </w:rPr>
        <w:t>COVID-19 RNS noteikšana (reaģentu komplekti PĶR reālajā laikā SARS-CoV-2 (2019nCoV) RNS kvalitatīvai noteikšanai)</w:t>
      </w:r>
      <w:r w:rsidRPr="005B6BF2">
        <w:rPr>
          <w:rFonts w:ascii="Times New Roman" w:hAnsi="Times New Roman" w:cs="Times New Roman"/>
          <w:sz w:val="24"/>
          <w:szCs w:val="24"/>
        </w:rPr>
        <w:t>;</w:t>
      </w:r>
    </w:p>
    <w:p w14:paraId="764A0E39" w14:textId="77777777" w:rsidR="006F0BB4" w:rsidRPr="005B6BF2" w:rsidRDefault="006F0BB4" w:rsidP="00F964E8">
      <w:pPr>
        <w:pStyle w:val="ListParagraph"/>
        <w:numPr>
          <w:ilvl w:val="2"/>
          <w:numId w:val="25"/>
        </w:numPr>
        <w:spacing w:after="0" w:line="240" w:lineRule="auto"/>
        <w:ind w:left="1843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>47075R – “</w:t>
      </w:r>
      <w:r w:rsidR="000C6430" w:rsidRPr="005B6BF2">
        <w:rPr>
          <w:rFonts w:ascii="Times New Roman" w:hAnsi="Times New Roman" w:cs="Times New Roman"/>
          <w:sz w:val="24"/>
          <w:szCs w:val="24"/>
        </w:rPr>
        <w:t xml:space="preserve">R </w:t>
      </w:r>
      <w:r w:rsidR="008167B8" w:rsidRPr="005B6BF2">
        <w:rPr>
          <w:rFonts w:ascii="Times New Roman" w:hAnsi="Times New Roman" w:cs="Times New Roman"/>
          <w:sz w:val="24"/>
          <w:szCs w:val="24"/>
        </w:rPr>
        <w:t>COVID-19 RNS noteikšana (reaģentu komplekti PĶR reālajā laikā SARS-CoV-2 (2019nCoV) RNS apstiprināšanai)</w:t>
      </w:r>
      <w:r w:rsidRPr="005B6BF2">
        <w:rPr>
          <w:rFonts w:ascii="Times New Roman" w:hAnsi="Times New Roman" w:cs="Times New Roman"/>
          <w:sz w:val="24"/>
          <w:szCs w:val="24"/>
        </w:rPr>
        <w:t>”;</w:t>
      </w:r>
    </w:p>
    <w:p w14:paraId="12108A0F" w14:textId="77777777" w:rsidR="006F0BB4" w:rsidRPr="005B6BF2" w:rsidRDefault="006F0BB4" w:rsidP="00F964E8">
      <w:pPr>
        <w:pStyle w:val="ListParagraph"/>
        <w:numPr>
          <w:ilvl w:val="2"/>
          <w:numId w:val="25"/>
        </w:numPr>
        <w:spacing w:after="0" w:line="240" w:lineRule="auto"/>
        <w:ind w:left="1843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>47</w:t>
      </w:r>
      <w:r w:rsidR="008167B8" w:rsidRPr="005B6BF2">
        <w:rPr>
          <w:rFonts w:ascii="Times New Roman" w:hAnsi="Times New Roman" w:cs="Times New Roman"/>
          <w:sz w:val="24"/>
          <w:szCs w:val="24"/>
        </w:rPr>
        <w:t>077R- “</w:t>
      </w:r>
      <w:r w:rsidR="000C6430" w:rsidRPr="005B6BF2">
        <w:rPr>
          <w:rFonts w:ascii="Times New Roman" w:hAnsi="Times New Roman" w:cs="Times New Roman"/>
          <w:sz w:val="24"/>
          <w:szCs w:val="24"/>
        </w:rPr>
        <w:t xml:space="preserve">R </w:t>
      </w:r>
      <w:r w:rsidR="008167B8" w:rsidRPr="005B6BF2">
        <w:rPr>
          <w:rFonts w:ascii="Times New Roman" w:hAnsi="Times New Roman" w:cs="Times New Roman"/>
          <w:sz w:val="24"/>
          <w:szCs w:val="24"/>
        </w:rPr>
        <w:t>COVID-19 RNS noteikšana (reaģentu komplekti PĶR reālajā laikā SARS-CoV-2 (2019nCoV) RNS ātrai diagnostikai un diferenciāldiagnostikai) - izmeklējums ar  MULTI-PLEX reaģentiem”</w:t>
      </w:r>
      <w:r w:rsidR="00CB7865" w:rsidRPr="005B6BF2">
        <w:rPr>
          <w:rFonts w:ascii="Times New Roman" w:hAnsi="Times New Roman" w:cs="Times New Roman"/>
          <w:sz w:val="24"/>
          <w:szCs w:val="24"/>
        </w:rPr>
        <w:t>;</w:t>
      </w:r>
    </w:p>
    <w:p w14:paraId="1F8D23EA" w14:textId="5E82A62C" w:rsidR="006F0BB4" w:rsidRPr="005B6BF2" w:rsidRDefault="006F0BB4" w:rsidP="00F964E8">
      <w:pPr>
        <w:pStyle w:val="ListParagraph"/>
        <w:numPr>
          <w:ilvl w:val="2"/>
          <w:numId w:val="25"/>
        </w:numPr>
        <w:spacing w:after="0" w:line="240" w:lineRule="auto"/>
        <w:ind w:left="1843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>47</w:t>
      </w:r>
      <w:r w:rsidR="008167B8" w:rsidRPr="005B6BF2">
        <w:rPr>
          <w:rFonts w:ascii="Times New Roman" w:hAnsi="Times New Roman" w:cs="Times New Roman"/>
          <w:sz w:val="24"/>
          <w:szCs w:val="24"/>
        </w:rPr>
        <w:t>078R- “</w:t>
      </w:r>
      <w:r w:rsidR="00317D90">
        <w:rPr>
          <w:rFonts w:ascii="Times New Roman" w:hAnsi="Times New Roman" w:cs="Times New Roman"/>
          <w:sz w:val="24"/>
          <w:szCs w:val="24"/>
        </w:rPr>
        <w:t xml:space="preserve">R </w:t>
      </w:r>
      <w:bookmarkStart w:id="0" w:name="_GoBack"/>
      <w:bookmarkEnd w:id="0"/>
      <w:r w:rsidR="008167B8" w:rsidRPr="005B6BF2">
        <w:rPr>
          <w:rFonts w:ascii="Times New Roman" w:hAnsi="Times New Roman" w:cs="Times New Roman"/>
          <w:sz w:val="24"/>
          <w:szCs w:val="24"/>
        </w:rPr>
        <w:t>COVID-19 RNS noteikšana (reaģentu komplekti PĶR reālajā laikā SARS-CoV-2 (2019nCoV) RNS ātrai diagnostikai un diferenciāldiagnostikai) - izmeklējums ar  GENEXPERT reaģentiem”</w:t>
      </w:r>
      <w:r w:rsidR="00CB7865" w:rsidRPr="005B6BF2">
        <w:rPr>
          <w:rFonts w:ascii="Times New Roman" w:hAnsi="Times New Roman" w:cs="Times New Roman"/>
          <w:sz w:val="24"/>
          <w:szCs w:val="24"/>
        </w:rPr>
        <w:t>;</w:t>
      </w:r>
    </w:p>
    <w:p w14:paraId="04A77FE9" w14:textId="77777777" w:rsidR="00D9520C" w:rsidRPr="005B6BF2" w:rsidRDefault="00D9520C" w:rsidP="00F964E8">
      <w:pPr>
        <w:pStyle w:val="ListParagraph"/>
        <w:spacing w:after="0" w:line="240" w:lineRule="auto"/>
        <w:ind w:left="184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8E2AE17" w14:textId="77777777" w:rsidR="006F0BB4" w:rsidRPr="005B6BF2" w:rsidRDefault="006F0BB4" w:rsidP="006F0BB4">
      <w:pPr>
        <w:pStyle w:val="ListParagraph"/>
        <w:numPr>
          <w:ilvl w:val="0"/>
          <w:numId w:val="26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3D74C9" w14:textId="77777777" w:rsidR="006F0BB4" w:rsidRPr="005B6BF2" w:rsidRDefault="006F0BB4" w:rsidP="006F0BB4">
      <w:pPr>
        <w:pStyle w:val="ListParagraph"/>
        <w:numPr>
          <w:ilvl w:val="1"/>
          <w:numId w:val="26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B600FD" w14:textId="77777777" w:rsidR="006F0BB4" w:rsidRPr="005B6BF2" w:rsidRDefault="006F0BB4" w:rsidP="006F0BB4">
      <w:pPr>
        <w:pStyle w:val="ListParagraph"/>
        <w:numPr>
          <w:ilvl w:val="1"/>
          <w:numId w:val="26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50A5B4" w14:textId="77777777" w:rsidR="006F0BB4" w:rsidRPr="005B6BF2" w:rsidRDefault="006F0BB4" w:rsidP="006F0BB4">
      <w:pPr>
        <w:pStyle w:val="ListParagraph"/>
        <w:numPr>
          <w:ilvl w:val="1"/>
          <w:numId w:val="26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F1C248" w14:textId="77777777" w:rsidR="00863192" w:rsidRPr="005B6BF2" w:rsidRDefault="006E3EA2" w:rsidP="00F964E8">
      <w:pPr>
        <w:pStyle w:val="ListParagraph"/>
        <w:numPr>
          <w:ilvl w:val="1"/>
          <w:numId w:val="2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 xml:space="preserve">nosūta pārskatu par stacionēto personu </w:t>
      </w:r>
      <w:r w:rsidR="00863192" w:rsidRPr="005B6BF2">
        <w:rPr>
          <w:rFonts w:ascii="Times New Roman" w:hAnsi="Times New Roman" w:cs="Times New Roman"/>
          <w:sz w:val="24"/>
          <w:szCs w:val="24"/>
        </w:rPr>
        <w:t>testēšanas rezultāt</w:t>
      </w:r>
      <w:r w:rsidRPr="005B6BF2">
        <w:rPr>
          <w:rFonts w:ascii="Times New Roman" w:hAnsi="Times New Roman" w:cs="Times New Roman"/>
          <w:sz w:val="24"/>
          <w:szCs w:val="24"/>
        </w:rPr>
        <w:t>iem</w:t>
      </w:r>
      <w:r w:rsidR="00863192" w:rsidRPr="005B6BF2">
        <w:rPr>
          <w:rFonts w:ascii="Times New Roman" w:hAnsi="Times New Roman" w:cs="Times New Roman"/>
          <w:sz w:val="24"/>
          <w:szCs w:val="24"/>
        </w:rPr>
        <w:t xml:space="preserve"> uz ārstniecības iestādes norādīto e</w:t>
      </w:r>
      <w:r w:rsidR="001E2B10" w:rsidRPr="005B6BF2">
        <w:rPr>
          <w:rFonts w:ascii="Times New Roman" w:hAnsi="Times New Roman" w:cs="Times New Roman"/>
          <w:sz w:val="24"/>
          <w:szCs w:val="24"/>
        </w:rPr>
        <w:t>lektroniskā pasta</w:t>
      </w:r>
      <w:r w:rsidR="00863192" w:rsidRPr="005B6BF2">
        <w:rPr>
          <w:rFonts w:ascii="Times New Roman" w:hAnsi="Times New Roman" w:cs="Times New Roman"/>
          <w:sz w:val="24"/>
          <w:szCs w:val="24"/>
        </w:rPr>
        <w:t xml:space="preserve"> adresi;</w:t>
      </w:r>
    </w:p>
    <w:p w14:paraId="09B72079" w14:textId="77777777" w:rsidR="00D9520C" w:rsidRPr="005B6BF2" w:rsidRDefault="00D9520C" w:rsidP="00F964E8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1656D0A" w14:textId="77777777" w:rsidR="00863192" w:rsidRPr="005B6BF2" w:rsidRDefault="006E3EA2" w:rsidP="00F964E8">
      <w:pPr>
        <w:pStyle w:val="ListParagraph"/>
        <w:numPr>
          <w:ilvl w:val="1"/>
          <w:numId w:val="2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 xml:space="preserve">nodrošina, ka </w:t>
      </w:r>
      <w:r w:rsidR="00DE17A8" w:rsidRPr="005B6BF2">
        <w:rPr>
          <w:rFonts w:ascii="Times New Roman" w:hAnsi="Times New Roman" w:cs="Times New Roman"/>
          <w:sz w:val="24"/>
          <w:szCs w:val="24"/>
        </w:rPr>
        <w:t>personām</w:t>
      </w:r>
      <w:r w:rsidR="00CB7865" w:rsidRPr="005B6BF2">
        <w:rPr>
          <w:rFonts w:ascii="Times New Roman" w:hAnsi="Times New Roman" w:cs="Times New Roman"/>
          <w:sz w:val="24"/>
          <w:szCs w:val="24"/>
        </w:rPr>
        <w:t>, kurām Paraugu izmeklēšana veikta ambulatori,</w:t>
      </w:r>
      <w:r w:rsidR="00DE17A8" w:rsidRPr="005B6BF2">
        <w:rPr>
          <w:rFonts w:ascii="Times New Roman" w:hAnsi="Times New Roman" w:cs="Times New Roman"/>
          <w:sz w:val="24"/>
          <w:szCs w:val="24"/>
        </w:rPr>
        <w:t xml:space="preserve"> testēšanas rezultāti ir pieejami Līguma 2.1.12.apakšpunkta noteiktajā kārtībā;</w:t>
      </w:r>
    </w:p>
    <w:p w14:paraId="3B15037B" w14:textId="77777777" w:rsidR="00D9520C" w:rsidRPr="005B6BF2" w:rsidRDefault="00D9520C" w:rsidP="00F964E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0336046" w14:textId="77777777" w:rsidR="00DE17A8" w:rsidRPr="00F964E8" w:rsidRDefault="00DE17A8" w:rsidP="00F964E8">
      <w:pPr>
        <w:pStyle w:val="ListParagraph"/>
        <w:numPr>
          <w:ilvl w:val="1"/>
          <w:numId w:val="2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F2">
        <w:rPr>
          <w:rFonts w:ascii="Times New Roman" w:hAnsi="Times New Roman" w:cs="Times New Roman"/>
          <w:sz w:val="24"/>
          <w:szCs w:val="24"/>
        </w:rPr>
        <w:t>nodrošina ārstniecības iestādēm rezultātu skaidrošanu pa tālruni 29114493 vai</w:t>
      </w:r>
      <w:r w:rsidR="0041625A" w:rsidRPr="005B6BF2">
        <w:rPr>
          <w:rFonts w:ascii="Times New Roman" w:hAnsi="Times New Roman" w:cs="Times New Roman"/>
          <w:sz w:val="24"/>
          <w:szCs w:val="24"/>
        </w:rPr>
        <w:t>,</w:t>
      </w:r>
      <w:r w:rsidRPr="005B6BF2">
        <w:rPr>
          <w:rFonts w:ascii="Times New Roman" w:hAnsi="Times New Roman" w:cs="Times New Roman"/>
          <w:sz w:val="24"/>
          <w:szCs w:val="24"/>
        </w:rPr>
        <w:t xml:space="preserve"> rakstot uz </w:t>
      </w:r>
      <w:r w:rsidR="001E2B10" w:rsidRPr="005B6BF2">
        <w:rPr>
          <w:rFonts w:ascii="Times New Roman" w:hAnsi="Times New Roman" w:cs="Times New Roman"/>
          <w:sz w:val="24"/>
          <w:szCs w:val="24"/>
        </w:rPr>
        <w:t>elektroniskā pasta adresi:</w:t>
      </w:r>
      <w:r w:rsidR="001E2B10" w:rsidRPr="005B6BF2" w:rsidDel="001E2B1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B6BF2">
          <w:rPr>
            <w:rFonts w:ascii="Times New Roman" w:hAnsi="Times New Roman" w:cs="Times New Roman"/>
            <w:sz w:val="24"/>
            <w:szCs w:val="24"/>
          </w:rPr>
          <w:t>lic.laboratorija@aslimnica.lv</w:t>
        </w:r>
      </w:hyperlink>
      <w:r w:rsidR="001E2B10" w:rsidRPr="00F964E8">
        <w:rPr>
          <w:rFonts w:ascii="Times New Roman" w:hAnsi="Times New Roman" w:cs="Times New Roman"/>
          <w:sz w:val="24"/>
          <w:szCs w:val="24"/>
        </w:rPr>
        <w:t>;</w:t>
      </w:r>
    </w:p>
    <w:p w14:paraId="3E01280F" w14:textId="77777777" w:rsidR="00213F57" w:rsidRPr="00F964E8" w:rsidRDefault="005724FC" w:rsidP="00F964E8">
      <w:pPr>
        <w:pStyle w:val="ListParagraph"/>
        <w:numPr>
          <w:ilvl w:val="1"/>
          <w:numId w:val="2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13F57" w:rsidRPr="00F964E8">
        <w:rPr>
          <w:rFonts w:ascii="Times New Roman" w:hAnsi="Times New Roman" w:cs="Times New Roman"/>
          <w:sz w:val="24"/>
          <w:szCs w:val="24"/>
        </w:rPr>
        <w:t xml:space="preserve">niedz informāciju </w:t>
      </w:r>
      <w:r w:rsidR="00875BF0" w:rsidRPr="00F964E8">
        <w:rPr>
          <w:rFonts w:ascii="Times New Roman" w:hAnsi="Times New Roman" w:cs="Times New Roman"/>
          <w:sz w:val="24"/>
          <w:szCs w:val="24"/>
        </w:rPr>
        <w:t xml:space="preserve">Slimību profilakses un kontroles centram (turpmāk – SPKC) </w:t>
      </w:r>
      <w:r w:rsidR="00213F57" w:rsidRPr="00F964E8">
        <w:rPr>
          <w:rFonts w:ascii="Times New Roman" w:hAnsi="Times New Roman" w:cs="Times New Roman"/>
          <w:sz w:val="24"/>
          <w:szCs w:val="24"/>
        </w:rPr>
        <w:t xml:space="preserve"> par veikto testu rezultātiem </w:t>
      </w:r>
      <w:r w:rsidR="00361CCC" w:rsidRPr="00F964E8">
        <w:rPr>
          <w:rFonts w:ascii="Times New Roman" w:hAnsi="Times New Roman" w:cs="Times New Roman"/>
          <w:sz w:val="24"/>
          <w:szCs w:val="24"/>
        </w:rPr>
        <w:t xml:space="preserve">SPKC </w:t>
      </w:r>
      <w:r w:rsidR="00213F57" w:rsidRPr="00F964E8">
        <w:rPr>
          <w:rFonts w:ascii="Times New Roman" w:hAnsi="Times New Roman" w:cs="Times New Roman"/>
          <w:sz w:val="24"/>
          <w:szCs w:val="24"/>
        </w:rPr>
        <w:t>pieprasītā formātā.</w:t>
      </w:r>
    </w:p>
    <w:p w14:paraId="4D6A9DFE" w14:textId="77777777" w:rsidR="00580439" w:rsidRPr="00131AED" w:rsidRDefault="00580439" w:rsidP="0058043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E3BEB40" w14:textId="77777777" w:rsidR="00213F57" w:rsidRPr="00D9520C" w:rsidRDefault="006E18EA" w:rsidP="00DB07D6">
      <w:pPr>
        <w:pStyle w:val="ListParagraph"/>
        <w:numPr>
          <w:ilvl w:val="0"/>
          <w:numId w:val="2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520C">
        <w:rPr>
          <w:rFonts w:ascii="Times New Roman" w:hAnsi="Times New Roman" w:cs="Times New Roman"/>
          <w:sz w:val="24"/>
          <w:szCs w:val="24"/>
        </w:rPr>
        <w:t>D</w:t>
      </w:r>
      <w:r w:rsidR="003729BC" w:rsidRPr="00D9520C">
        <w:rPr>
          <w:rFonts w:ascii="Times New Roman" w:hAnsi="Times New Roman" w:cs="Times New Roman"/>
          <w:sz w:val="24"/>
          <w:szCs w:val="24"/>
        </w:rPr>
        <w:t>IENESTS</w:t>
      </w:r>
      <w:r w:rsidR="00213F57" w:rsidRPr="00D9520C">
        <w:rPr>
          <w:rFonts w:ascii="Times New Roman" w:hAnsi="Times New Roman" w:cs="Times New Roman"/>
          <w:sz w:val="24"/>
          <w:szCs w:val="24"/>
        </w:rPr>
        <w:t xml:space="preserve"> apmaksā</w:t>
      </w:r>
      <w:r w:rsidR="004A545E" w:rsidRPr="00D9520C">
        <w:rPr>
          <w:rFonts w:ascii="Times New Roman" w:hAnsi="Times New Roman" w:cs="Times New Roman"/>
          <w:sz w:val="24"/>
          <w:szCs w:val="24"/>
        </w:rPr>
        <w:t xml:space="preserve"> </w:t>
      </w:r>
      <w:r w:rsidR="00932787" w:rsidRPr="00D9520C">
        <w:rPr>
          <w:rFonts w:ascii="Times New Roman" w:hAnsi="Times New Roman" w:cs="Times New Roman"/>
          <w:color w:val="000000"/>
          <w:sz w:val="24"/>
          <w:szCs w:val="24"/>
        </w:rPr>
        <w:t>IZPILDĪTĀJAM</w:t>
      </w:r>
      <w:r w:rsidR="00213F57" w:rsidRPr="00D9520C">
        <w:rPr>
          <w:rFonts w:ascii="Times New Roman" w:hAnsi="Times New Roman" w:cs="Times New Roman"/>
          <w:sz w:val="24"/>
          <w:szCs w:val="24"/>
        </w:rPr>
        <w:t>:</w:t>
      </w:r>
    </w:p>
    <w:p w14:paraId="2BBC9ECA" w14:textId="77777777" w:rsidR="00D9520C" w:rsidRPr="00F964E8" w:rsidRDefault="00D9520C" w:rsidP="00F964E8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E24691F" w14:textId="77777777" w:rsidR="005C4DD6" w:rsidRPr="00F964E8" w:rsidRDefault="00C410C2" w:rsidP="00F964E8">
      <w:pPr>
        <w:pStyle w:val="ListParagraph"/>
        <w:numPr>
          <w:ilvl w:val="1"/>
          <w:numId w:val="27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 xml:space="preserve">šī pielikuma </w:t>
      </w:r>
      <w:r w:rsidR="003C1C06" w:rsidRPr="00F964E8">
        <w:rPr>
          <w:rFonts w:ascii="Times New Roman" w:hAnsi="Times New Roman" w:cs="Times New Roman"/>
          <w:sz w:val="24"/>
          <w:szCs w:val="24"/>
        </w:rPr>
        <w:t xml:space="preserve"> 1.</w:t>
      </w:r>
      <w:r w:rsidRPr="00F964E8">
        <w:rPr>
          <w:rFonts w:ascii="Times New Roman" w:hAnsi="Times New Roman" w:cs="Times New Roman"/>
          <w:sz w:val="24"/>
          <w:szCs w:val="24"/>
        </w:rPr>
        <w:t>1.</w:t>
      </w:r>
      <w:r w:rsidR="003C1C06" w:rsidRPr="00F964E8">
        <w:rPr>
          <w:rFonts w:ascii="Times New Roman" w:hAnsi="Times New Roman" w:cs="Times New Roman"/>
          <w:sz w:val="24"/>
          <w:szCs w:val="24"/>
        </w:rPr>
        <w:t xml:space="preserve">punktā </w:t>
      </w:r>
      <w:r w:rsidR="00554AEC" w:rsidRPr="00F964E8">
        <w:rPr>
          <w:rFonts w:ascii="Times New Roman" w:hAnsi="Times New Roman" w:cs="Times New Roman"/>
          <w:sz w:val="24"/>
          <w:szCs w:val="24"/>
        </w:rPr>
        <w:t xml:space="preserve">noteiktajā kārtībā </w:t>
      </w:r>
      <w:r w:rsidRPr="00F964E8">
        <w:rPr>
          <w:rFonts w:ascii="Times New Roman" w:hAnsi="Times New Roman" w:cs="Times New Roman"/>
          <w:sz w:val="24"/>
          <w:szCs w:val="24"/>
        </w:rPr>
        <w:t>izsniegto</w:t>
      </w:r>
      <w:r w:rsidR="00554AEC" w:rsidRPr="00F964E8">
        <w:rPr>
          <w:rFonts w:ascii="Times New Roman" w:hAnsi="Times New Roman" w:cs="Times New Roman"/>
          <w:sz w:val="24"/>
          <w:szCs w:val="24"/>
        </w:rPr>
        <w:t>s</w:t>
      </w:r>
      <w:r w:rsidRPr="00F964E8">
        <w:rPr>
          <w:rFonts w:ascii="Times New Roman" w:hAnsi="Times New Roman" w:cs="Times New Roman"/>
          <w:sz w:val="24"/>
          <w:szCs w:val="24"/>
        </w:rPr>
        <w:t xml:space="preserve"> Konteineru</w:t>
      </w:r>
      <w:r w:rsidR="00554AEC" w:rsidRPr="00F964E8">
        <w:rPr>
          <w:rFonts w:ascii="Times New Roman" w:hAnsi="Times New Roman" w:cs="Times New Roman"/>
          <w:sz w:val="24"/>
          <w:szCs w:val="24"/>
        </w:rPr>
        <w:t>s</w:t>
      </w:r>
      <w:r w:rsidR="004A545E" w:rsidRPr="00F964E8">
        <w:rPr>
          <w:rFonts w:ascii="Times New Roman" w:hAnsi="Times New Roman" w:cs="Times New Roman"/>
          <w:sz w:val="24"/>
          <w:szCs w:val="24"/>
        </w:rPr>
        <w:t>.</w:t>
      </w:r>
      <w:r w:rsidR="00BC0CFF" w:rsidRPr="00F964E8">
        <w:rPr>
          <w:rFonts w:ascii="Times New Roman" w:hAnsi="Times New Roman" w:cs="Times New Roman"/>
          <w:sz w:val="24"/>
          <w:szCs w:val="24"/>
        </w:rPr>
        <w:t xml:space="preserve"> </w:t>
      </w:r>
      <w:r w:rsidR="004A545E" w:rsidRPr="00F964E8">
        <w:rPr>
          <w:rFonts w:ascii="Times New Roman" w:hAnsi="Times New Roman" w:cs="Times New Roman"/>
          <w:color w:val="000000"/>
          <w:sz w:val="24"/>
          <w:szCs w:val="24"/>
        </w:rPr>
        <w:t xml:space="preserve">IZPILDĪTĀJS </w:t>
      </w:r>
      <w:r w:rsidR="004A545E" w:rsidRPr="00F964E8">
        <w:rPr>
          <w:rFonts w:ascii="Times New Roman" w:hAnsi="Times New Roman" w:cs="Times New Roman"/>
          <w:sz w:val="24"/>
          <w:szCs w:val="24"/>
        </w:rPr>
        <w:t>iesniedz D</w:t>
      </w:r>
      <w:r w:rsidR="003729BC" w:rsidRPr="00F964E8">
        <w:rPr>
          <w:rFonts w:ascii="Times New Roman" w:hAnsi="Times New Roman" w:cs="Times New Roman"/>
          <w:sz w:val="24"/>
          <w:szCs w:val="24"/>
        </w:rPr>
        <w:t>IENESTAM</w:t>
      </w:r>
      <w:r w:rsidR="004A545E" w:rsidRPr="00F964E8">
        <w:rPr>
          <w:rFonts w:ascii="Times New Roman" w:hAnsi="Times New Roman" w:cs="Times New Roman"/>
          <w:sz w:val="24"/>
          <w:szCs w:val="24"/>
        </w:rPr>
        <w:t xml:space="preserve"> atskaiti </w:t>
      </w:r>
      <w:r w:rsidR="003729BC" w:rsidRPr="00F964E8">
        <w:rPr>
          <w:rFonts w:ascii="Times New Roman" w:hAnsi="Times New Roman" w:cs="Times New Roman"/>
          <w:sz w:val="24"/>
          <w:szCs w:val="24"/>
        </w:rPr>
        <w:t>par</w:t>
      </w:r>
      <w:r w:rsidRPr="00F964E8">
        <w:rPr>
          <w:rFonts w:ascii="Times New Roman" w:hAnsi="Times New Roman" w:cs="Times New Roman"/>
          <w:sz w:val="24"/>
          <w:szCs w:val="24"/>
        </w:rPr>
        <w:t xml:space="preserve"> izsniegto </w:t>
      </w:r>
      <w:r w:rsidR="001E2B10" w:rsidRPr="00F964E8">
        <w:rPr>
          <w:rFonts w:ascii="Times New Roman" w:hAnsi="Times New Roman" w:cs="Times New Roman"/>
          <w:sz w:val="24"/>
          <w:szCs w:val="24"/>
        </w:rPr>
        <w:t>K</w:t>
      </w:r>
      <w:r w:rsidRPr="00F964E8">
        <w:rPr>
          <w:rFonts w:ascii="Times New Roman" w:hAnsi="Times New Roman" w:cs="Times New Roman"/>
          <w:sz w:val="24"/>
          <w:szCs w:val="24"/>
        </w:rPr>
        <w:t>onteineru skaitu</w:t>
      </w:r>
      <w:r w:rsidR="00C518A7" w:rsidRPr="00F964E8">
        <w:rPr>
          <w:rFonts w:ascii="Times New Roman" w:hAnsi="Times New Roman" w:cs="Times New Roman"/>
          <w:sz w:val="24"/>
          <w:szCs w:val="24"/>
        </w:rPr>
        <w:t xml:space="preserve"> un vienības cenu noteiktā laika periodā</w:t>
      </w:r>
      <w:r w:rsidR="006F0BB4" w:rsidRPr="00F964E8">
        <w:rPr>
          <w:rFonts w:ascii="Times New Roman" w:hAnsi="Times New Roman" w:cs="Times New Roman"/>
          <w:sz w:val="24"/>
          <w:szCs w:val="24"/>
        </w:rPr>
        <w:t>;</w:t>
      </w:r>
    </w:p>
    <w:p w14:paraId="55E1BDE0" w14:textId="77777777" w:rsidR="00D9520C" w:rsidRPr="00F964E8" w:rsidRDefault="00D9520C" w:rsidP="00F964E8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03E1EB4" w14:textId="77777777" w:rsidR="00223E4E" w:rsidRPr="00F964E8" w:rsidRDefault="006331E4" w:rsidP="00F964E8">
      <w:pPr>
        <w:pStyle w:val="ListParagraph"/>
        <w:numPr>
          <w:ilvl w:val="1"/>
          <w:numId w:val="27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>i</w:t>
      </w:r>
      <w:r w:rsidR="00223E4E" w:rsidRPr="00F964E8">
        <w:rPr>
          <w:rFonts w:ascii="Times New Roman" w:hAnsi="Times New Roman" w:cs="Times New Roman"/>
          <w:sz w:val="24"/>
          <w:szCs w:val="24"/>
        </w:rPr>
        <w:t>zdevumus par</w:t>
      </w:r>
      <w:r w:rsidR="00E20ADA" w:rsidRPr="00F964E8">
        <w:rPr>
          <w:rFonts w:ascii="Times New Roman" w:hAnsi="Times New Roman" w:cs="Times New Roman"/>
          <w:sz w:val="24"/>
          <w:szCs w:val="24"/>
        </w:rPr>
        <w:t xml:space="preserve"> </w:t>
      </w:r>
      <w:r w:rsidR="00875BF0" w:rsidRPr="00F964E8">
        <w:rPr>
          <w:rFonts w:ascii="Times New Roman" w:hAnsi="Times New Roman" w:cs="Times New Roman"/>
          <w:sz w:val="24"/>
          <w:szCs w:val="24"/>
        </w:rPr>
        <w:t xml:space="preserve">individuālo aizsardzības līdzekļu (turpmāk – IAL) </w:t>
      </w:r>
      <w:r w:rsidR="00223E4E" w:rsidRPr="00F964E8">
        <w:rPr>
          <w:rFonts w:ascii="Times New Roman" w:hAnsi="Times New Roman" w:cs="Times New Roman"/>
          <w:sz w:val="24"/>
          <w:szCs w:val="24"/>
        </w:rPr>
        <w:t>iegādi, ņemot vērā, ka:</w:t>
      </w:r>
    </w:p>
    <w:p w14:paraId="7A2CC18B" w14:textId="77777777" w:rsidR="00BA2019" w:rsidRPr="00D9520C" w:rsidRDefault="00BA2019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 xml:space="preserve">Parauga laboratoriskai izmeklēšanai </w:t>
      </w:r>
      <w:r w:rsidR="00BD496A" w:rsidRPr="00F964E8">
        <w:rPr>
          <w:rFonts w:ascii="Times New Roman" w:hAnsi="Times New Roman" w:cs="Times New Roman"/>
          <w:sz w:val="24"/>
          <w:szCs w:val="24"/>
        </w:rPr>
        <w:t>IAL</w:t>
      </w:r>
      <w:r w:rsidRPr="00F964E8">
        <w:rPr>
          <w:rFonts w:ascii="Times New Roman" w:hAnsi="Times New Roman" w:cs="Times New Roman"/>
          <w:sz w:val="24"/>
          <w:szCs w:val="24"/>
        </w:rPr>
        <w:t xml:space="preserve"> komplektu veido </w:t>
      </w:r>
      <w:r w:rsidR="00B8506D" w:rsidRPr="00F964E8">
        <w:rPr>
          <w:rFonts w:ascii="Times New Roman" w:hAnsi="Times New Roman" w:cs="Times New Roman"/>
          <w:sz w:val="24"/>
          <w:szCs w:val="24"/>
        </w:rPr>
        <w:t>kombinezons (2 vienības maiņas laikā, kas ir 6 stundas</w:t>
      </w:r>
      <w:r w:rsidR="00315077" w:rsidRPr="00F964E8">
        <w:rPr>
          <w:rFonts w:ascii="Times New Roman" w:hAnsi="Times New Roman" w:cs="Times New Roman"/>
          <w:sz w:val="24"/>
          <w:szCs w:val="24"/>
        </w:rPr>
        <w:t>, uz 1 darbinieku</w:t>
      </w:r>
      <w:r w:rsidR="00B8506D" w:rsidRPr="00F964E8">
        <w:rPr>
          <w:rFonts w:ascii="Times New Roman" w:hAnsi="Times New Roman" w:cs="Times New Roman"/>
          <w:sz w:val="24"/>
          <w:szCs w:val="24"/>
        </w:rPr>
        <w:t>), respirators (maina ik pēc 2 stundām jeb vienai maiņai 3 vienības</w:t>
      </w:r>
      <w:r w:rsidR="00315077" w:rsidRPr="00F964E8">
        <w:rPr>
          <w:rFonts w:ascii="Times New Roman" w:hAnsi="Times New Roman" w:cs="Times New Roman"/>
          <w:sz w:val="24"/>
          <w:szCs w:val="24"/>
        </w:rPr>
        <w:t xml:space="preserve"> uz 1 darbinieku</w:t>
      </w:r>
      <w:r w:rsidR="00B8506D" w:rsidRPr="00F964E8">
        <w:rPr>
          <w:rFonts w:ascii="Times New Roman" w:hAnsi="Times New Roman" w:cs="Times New Roman"/>
          <w:sz w:val="24"/>
          <w:szCs w:val="24"/>
        </w:rPr>
        <w:t>), aizsargbrilles (lieto atkārtoti pēc dezinfekcijas), iekšējie cimdi (2 pāri maiņas laikā</w:t>
      </w:r>
      <w:r w:rsidR="00315077" w:rsidRPr="00F964E8">
        <w:rPr>
          <w:rFonts w:ascii="Times New Roman" w:hAnsi="Times New Roman" w:cs="Times New Roman"/>
          <w:sz w:val="24"/>
          <w:szCs w:val="24"/>
        </w:rPr>
        <w:t xml:space="preserve"> uz 1</w:t>
      </w:r>
      <w:r w:rsidR="00C01614" w:rsidRPr="00F964E8">
        <w:rPr>
          <w:rFonts w:ascii="Times New Roman" w:hAnsi="Times New Roman" w:cs="Times New Roman"/>
          <w:sz w:val="24"/>
          <w:szCs w:val="24"/>
        </w:rPr>
        <w:t xml:space="preserve"> molekulāro biologu un 1 laborantu</w:t>
      </w:r>
      <w:r w:rsidR="00B8506D" w:rsidRPr="00F964E8">
        <w:rPr>
          <w:rFonts w:ascii="Times New Roman" w:hAnsi="Times New Roman" w:cs="Times New Roman"/>
          <w:sz w:val="24"/>
          <w:szCs w:val="24"/>
        </w:rPr>
        <w:t xml:space="preserve">), </w:t>
      </w:r>
      <w:r w:rsidR="00C01614" w:rsidRPr="00F964E8">
        <w:rPr>
          <w:rFonts w:ascii="Times New Roman" w:hAnsi="Times New Roman" w:cs="Times New Roman"/>
          <w:sz w:val="24"/>
          <w:szCs w:val="24"/>
        </w:rPr>
        <w:t xml:space="preserve">nesterilie latex cimdi (4 pāri </w:t>
      </w:r>
      <w:r w:rsidR="00C01614" w:rsidRPr="00131AED">
        <w:rPr>
          <w:rFonts w:ascii="Times New Roman" w:hAnsi="Times New Roman" w:cs="Times New Roman"/>
          <w:sz w:val="24"/>
          <w:szCs w:val="24"/>
        </w:rPr>
        <w:t xml:space="preserve"> 1 darbinieka maiņas</w:t>
      </w:r>
      <w:r w:rsidR="00C01614" w:rsidRPr="00BE2EAE">
        <w:rPr>
          <w:rFonts w:ascii="Times New Roman" w:hAnsi="Times New Roman" w:cs="Times New Roman"/>
          <w:sz w:val="24"/>
          <w:szCs w:val="24"/>
        </w:rPr>
        <w:t xml:space="preserve"> laikā), </w:t>
      </w:r>
      <w:r w:rsidR="00B8506D" w:rsidRPr="00BE2EAE">
        <w:rPr>
          <w:rFonts w:ascii="Times New Roman" w:hAnsi="Times New Roman" w:cs="Times New Roman"/>
          <w:sz w:val="24"/>
          <w:szCs w:val="24"/>
        </w:rPr>
        <w:t xml:space="preserve">bahilas un halāts </w:t>
      </w:r>
      <w:r w:rsidR="00B8506D" w:rsidRPr="00D9520C">
        <w:rPr>
          <w:rFonts w:ascii="Times New Roman" w:hAnsi="Times New Roman" w:cs="Times New Roman"/>
          <w:sz w:val="24"/>
          <w:szCs w:val="24"/>
        </w:rPr>
        <w:t>(2 vienības maiņas laikā</w:t>
      </w:r>
      <w:r w:rsidR="00315077" w:rsidRPr="00D9520C">
        <w:rPr>
          <w:rFonts w:ascii="Times New Roman" w:hAnsi="Times New Roman" w:cs="Times New Roman"/>
          <w:sz w:val="24"/>
          <w:szCs w:val="24"/>
        </w:rPr>
        <w:t xml:space="preserve"> uz 1 darbinieku</w:t>
      </w:r>
      <w:r w:rsidR="00B8506D" w:rsidRPr="00D9520C">
        <w:rPr>
          <w:rFonts w:ascii="Times New Roman" w:hAnsi="Times New Roman" w:cs="Times New Roman"/>
          <w:sz w:val="24"/>
          <w:szCs w:val="24"/>
        </w:rPr>
        <w:t>)</w:t>
      </w:r>
      <w:r w:rsidR="00315077" w:rsidRPr="00D9520C">
        <w:rPr>
          <w:rFonts w:ascii="Times New Roman" w:hAnsi="Times New Roman" w:cs="Times New Roman"/>
          <w:sz w:val="24"/>
          <w:szCs w:val="24"/>
        </w:rPr>
        <w:t xml:space="preserve">. Maiņā strādā </w:t>
      </w:r>
      <w:r w:rsidR="00937E8E" w:rsidRPr="00D9520C">
        <w:rPr>
          <w:rFonts w:ascii="Times New Roman" w:hAnsi="Times New Roman" w:cs="Times New Roman"/>
          <w:sz w:val="24"/>
          <w:szCs w:val="24"/>
        </w:rPr>
        <w:t>4</w:t>
      </w:r>
      <w:r w:rsidR="00315077" w:rsidRPr="00D9520C">
        <w:rPr>
          <w:rFonts w:ascii="Times New Roman" w:hAnsi="Times New Roman" w:cs="Times New Roman"/>
          <w:sz w:val="24"/>
          <w:szCs w:val="24"/>
        </w:rPr>
        <w:t xml:space="preserve"> laboranti un </w:t>
      </w:r>
      <w:r w:rsidR="00937E8E" w:rsidRPr="00D9520C">
        <w:rPr>
          <w:rFonts w:ascii="Times New Roman" w:hAnsi="Times New Roman" w:cs="Times New Roman"/>
          <w:sz w:val="24"/>
          <w:szCs w:val="24"/>
        </w:rPr>
        <w:t>2</w:t>
      </w:r>
      <w:r w:rsidR="00315077" w:rsidRPr="00D9520C">
        <w:rPr>
          <w:rFonts w:ascii="Times New Roman" w:hAnsi="Times New Roman" w:cs="Times New Roman"/>
          <w:sz w:val="24"/>
          <w:szCs w:val="24"/>
        </w:rPr>
        <w:t xml:space="preserve"> molekulārbiolog</w:t>
      </w:r>
      <w:r w:rsidR="00C01614" w:rsidRPr="00D9520C">
        <w:rPr>
          <w:rFonts w:ascii="Times New Roman" w:hAnsi="Times New Roman" w:cs="Times New Roman"/>
          <w:sz w:val="24"/>
          <w:szCs w:val="24"/>
        </w:rPr>
        <w:t>i</w:t>
      </w:r>
      <w:r w:rsidR="00315077" w:rsidRPr="00D9520C">
        <w:rPr>
          <w:rFonts w:ascii="Times New Roman" w:hAnsi="Times New Roman" w:cs="Times New Roman"/>
          <w:sz w:val="24"/>
          <w:szCs w:val="24"/>
        </w:rPr>
        <w:t xml:space="preserve">, </w:t>
      </w:r>
      <w:r w:rsidR="00C01614" w:rsidRPr="00D9520C">
        <w:rPr>
          <w:rFonts w:ascii="Times New Roman" w:hAnsi="Times New Roman" w:cs="Times New Roman"/>
          <w:sz w:val="24"/>
          <w:szCs w:val="24"/>
        </w:rPr>
        <w:t xml:space="preserve">4 reģistratori, 4 šķirotāji, </w:t>
      </w:r>
      <w:r w:rsidR="00315077" w:rsidRPr="00D9520C">
        <w:rPr>
          <w:rFonts w:ascii="Times New Roman" w:hAnsi="Times New Roman" w:cs="Times New Roman"/>
          <w:sz w:val="24"/>
          <w:szCs w:val="24"/>
        </w:rPr>
        <w:t xml:space="preserve">savukārt diennaktī strādā 2 maiņas. </w:t>
      </w:r>
    </w:p>
    <w:p w14:paraId="2209EFC1" w14:textId="77777777" w:rsidR="00E20ADA" w:rsidRPr="00D9520C" w:rsidRDefault="00E20ADA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D9520C">
        <w:rPr>
          <w:rFonts w:ascii="Times New Roman" w:hAnsi="Times New Roman" w:cs="Times New Roman"/>
          <w:sz w:val="24"/>
          <w:szCs w:val="24"/>
        </w:rPr>
        <w:t xml:space="preserve">IZPILDĪTĀJS iesniedz DIENESTAM atskaiti par iegādātajiem IAL </w:t>
      </w:r>
      <w:r w:rsidR="00875BF0" w:rsidRPr="00D9520C">
        <w:rPr>
          <w:rFonts w:ascii="Times New Roman" w:hAnsi="Times New Roman" w:cs="Times New Roman"/>
          <w:sz w:val="24"/>
          <w:szCs w:val="24"/>
        </w:rPr>
        <w:t>P</w:t>
      </w:r>
      <w:r w:rsidRPr="00D9520C">
        <w:rPr>
          <w:rFonts w:ascii="Times New Roman" w:hAnsi="Times New Roman" w:cs="Times New Roman"/>
          <w:sz w:val="24"/>
          <w:szCs w:val="24"/>
        </w:rPr>
        <w:t>araugu laboratoriskai izmeklēšanai, norādot iegādāto IAL nosaukumu, iepakojuma cenu bez PVN, iepakojuma cenu ar PVN, IAL skaitu vienā iepakojumā un izlietoto IAL skaitu;</w:t>
      </w:r>
    </w:p>
    <w:p w14:paraId="723F7522" w14:textId="77777777" w:rsidR="00A443B3" w:rsidRPr="00F964E8" w:rsidRDefault="00A443B3" w:rsidP="00F964E8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77D9822" w14:textId="77777777" w:rsidR="007779BA" w:rsidRPr="00F964E8" w:rsidRDefault="000F101D" w:rsidP="00F964E8">
      <w:pPr>
        <w:pStyle w:val="ListParagraph"/>
        <w:numPr>
          <w:ilvl w:val="1"/>
          <w:numId w:val="27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200E" w:rsidRPr="00F964E8">
        <w:rPr>
          <w:rFonts w:ascii="Times New Roman" w:hAnsi="Times New Roman" w:cs="Times New Roman"/>
          <w:sz w:val="24"/>
          <w:szCs w:val="24"/>
        </w:rPr>
        <w:t>zdevumus p</w:t>
      </w:r>
      <w:r w:rsidR="007779BA" w:rsidRPr="00F964E8">
        <w:rPr>
          <w:rFonts w:ascii="Times New Roman" w:hAnsi="Times New Roman" w:cs="Times New Roman"/>
          <w:sz w:val="24"/>
          <w:szCs w:val="24"/>
        </w:rPr>
        <w:t xml:space="preserve">ar </w:t>
      </w:r>
      <w:r w:rsidR="00875BF0" w:rsidRPr="00F964E8">
        <w:rPr>
          <w:rFonts w:ascii="Times New Roman" w:hAnsi="Times New Roman" w:cs="Times New Roman"/>
          <w:sz w:val="24"/>
          <w:szCs w:val="24"/>
        </w:rPr>
        <w:t>P</w:t>
      </w:r>
      <w:r w:rsidR="0016210C" w:rsidRPr="00F964E8">
        <w:rPr>
          <w:rFonts w:ascii="Times New Roman" w:hAnsi="Times New Roman" w:cs="Times New Roman"/>
          <w:sz w:val="24"/>
          <w:szCs w:val="24"/>
        </w:rPr>
        <w:t xml:space="preserve">araugu </w:t>
      </w:r>
      <w:r w:rsidR="00C4200E" w:rsidRPr="00F964E8">
        <w:rPr>
          <w:rFonts w:ascii="Times New Roman" w:hAnsi="Times New Roman" w:cs="Times New Roman"/>
          <w:sz w:val="24"/>
          <w:szCs w:val="24"/>
        </w:rPr>
        <w:t xml:space="preserve">laboratorisku </w:t>
      </w:r>
      <w:r w:rsidR="0016210C" w:rsidRPr="00F964E8">
        <w:rPr>
          <w:rFonts w:ascii="Times New Roman" w:hAnsi="Times New Roman" w:cs="Times New Roman"/>
          <w:sz w:val="24"/>
          <w:szCs w:val="24"/>
        </w:rPr>
        <w:t>testēša</w:t>
      </w:r>
      <w:r w:rsidR="00C4200E" w:rsidRPr="00F964E8">
        <w:rPr>
          <w:rFonts w:ascii="Times New Roman" w:hAnsi="Times New Roman" w:cs="Times New Roman"/>
          <w:sz w:val="24"/>
          <w:szCs w:val="24"/>
        </w:rPr>
        <w:t>nu, ņemot vērā, ka:</w:t>
      </w:r>
    </w:p>
    <w:p w14:paraId="784210B6" w14:textId="77777777" w:rsidR="00C4200E" w:rsidRPr="00F964E8" w:rsidRDefault="00C518A7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 xml:space="preserve">COVID-19 RNS noteikšana (reaģentu komplekti PĶR reālajā laikā SARS-CoV-2 (2019nCoV) RNS kvalitatīvai noteikšanai) </w:t>
      </w:r>
      <w:r w:rsidR="00550B7B" w:rsidRPr="00F964E8">
        <w:rPr>
          <w:rFonts w:ascii="Times New Roman" w:hAnsi="Times New Roman" w:cs="Times New Roman"/>
          <w:sz w:val="24"/>
          <w:szCs w:val="24"/>
        </w:rPr>
        <w:t xml:space="preserve">izmaksā </w:t>
      </w:r>
      <w:r w:rsidR="00875BF0" w:rsidRPr="00F964E8">
        <w:rPr>
          <w:rFonts w:ascii="Times New Roman" w:hAnsi="Times New Roman" w:cs="Times New Roman"/>
          <w:sz w:val="24"/>
          <w:szCs w:val="24"/>
        </w:rPr>
        <w:t xml:space="preserve">EUR </w:t>
      </w:r>
      <w:r w:rsidRPr="00F964E8">
        <w:rPr>
          <w:rFonts w:ascii="Times New Roman" w:hAnsi="Times New Roman" w:cs="Times New Roman"/>
          <w:sz w:val="24"/>
          <w:szCs w:val="24"/>
        </w:rPr>
        <w:t>43</w:t>
      </w:r>
      <w:r w:rsidR="00875BF0" w:rsidRPr="00F964E8">
        <w:rPr>
          <w:rFonts w:ascii="Times New Roman" w:hAnsi="Times New Roman" w:cs="Times New Roman"/>
          <w:sz w:val="24"/>
          <w:szCs w:val="24"/>
        </w:rPr>
        <w:t>,</w:t>
      </w:r>
      <w:r w:rsidRPr="00F964E8">
        <w:rPr>
          <w:rFonts w:ascii="Times New Roman" w:hAnsi="Times New Roman" w:cs="Times New Roman"/>
          <w:sz w:val="24"/>
          <w:szCs w:val="24"/>
        </w:rPr>
        <w:t>61</w:t>
      </w:r>
      <w:r w:rsidR="00550B7B" w:rsidRPr="00F964E8">
        <w:rPr>
          <w:rFonts w:ascii="Times New Roman" w:hAnsi="Times New Roman" w:cs="Times New Roman"/>
          <w:sz w:val="24"/>
          <w:szCs w:val="24"/>
        </w:rPr>
        <w:t>;</w:t>
      </w:r>
    </w:p>
    <w:p w14:paraId="19881772" w14:textId="77777777" w:rsidR="00A443B3" w:rsidRPr="00D9520C" w:rsidRDefault="00A443B3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131AED">
        <w:rPr>
          <w:rFonts w:ascii="Times New Roman" w:hAnsi="Times New Roman" w:cs="Times New Roman"/>
          <w:sz w:val="24"/>
          <w:szCs w:val="24"/>
        </w:rPr>
        <w:t>COVID-19 RNS noteikšana (reaģentu komplekti PĶR reālajā laikā SARS-CoV-2 (2019nCoV)</w:t>
      </w:r>
      <w:r w:rsidRPr="00D9520C">
        <w:rPr>
          <w:rFonts w:ascii="Times New Roman" w:hAnsi="Times New Roman" w:cs="Times New Roman"/>
          <w:sz w:val="24"/>
          <w:szCs w:val="24"/>
        </w:rPr>
        <w:t xml:space="preserve"> RNS apstiprināšanai) izmaksā </w:t>
      </w:r>
      <w:r w:rsidR="00875BF0" w:rsidRPr="00D9520C">
        <w:rPr>
          <w:rFonts w:ascii="Times New Roman" w:hAnsi="Times New Roman" w:cs="Times New Roman"/>
          <w:sz w:val="24"/>
          <w:szCs w:val="24"/>
        </w:rPr>
        <w:t xml:space="preserve">EUR </w:t>
      </w:r>
      <w:r w:rsidRPr="00D9520C">
        <w:rPr>
          <w:rFonts w:ascii="Times New Roman" w:hAnsi="Times New Roman" w:cs="Times New Roman"/>
          <w:sz w:val="24"/>
          <w:szCs w:val="24"/>
        </w:rPr>
        <w:t>57</w:t>
      </w:r>
      <w:r w:rsidR="00875BF0" w:rsidRPr="00D9520C">
        <w:rPr>
          <w:rFonts w:ascii="Times New Roman" w:hAnsi="Times New Roman" w:cs="Times New Roman"/>
          <w:sz w:val="24"/>
          <w:szCs w:val="24"/>
        </w:rPr>
        <w:t>,</w:t>
      </w:r>
      <w:r w:rsidRPr="00D9520C">
        <w:rPr>
          <w:rFonts w:ascii="Times New Roman" w:hAnsi="Times New Roman" w:cs="Times New Roman"/>
          <w:sz w:val="24"/>
          <w:szCs w:val="24"/>
        </w:rPr>
        <w:t>17;</w:t>
      </w:r>
    </w:p>
    <w:p w14:paraId="14F837AC" w14:textId="77777777" w:rsidR="003110F2" w:rsidRPr="00D9520C" w:rsidRDefault="00A443B3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D9520C">
        <w:rPr>
          <w:rFonts w:ascii="Times New Roman" w:hAnsi="Times New Roman" w:cs="Times New Roman"/>
          <w:sz w:val="24"/>
          <w:szCs w:val="24"/>
        </w:rPr>
        <w:t xml:space="preserve">COVID-19 RNS noteikšana (reaģentu komplekti PĶR reālajā laikā SARS-CoV-2 (2019nCoV) RNS ātrai diagnostikai un diferenciāldiagnostikai) - izmeklējums ar  MULTI-PLEX reaģentiem izmaksā </w:t>
      </w:r>
      <w:r w:rsidR="00875BF0" w:rsidRPr="00D9520C">
        <w:rPr>
          <w:rFonts w:ascii="Times New Roman" w:hAnsi="Times New Roman" w:cs="Times New Roman"/>
          <w:sz w:val="24"/>
          <w:szCs w:val="24"/>
        </w:rPr>
        <w:t xml:space="preserve">EUR </w:t>
      </w:r>
      <w:r w:rsidRPr="00D9520C">
        <w:rPr>
          <w:rFonts w:ascii="Times New Roman" w:hAnsi="Times New Roman" w:cs="Times New Roman"/>
          <w:sz w:val="24"/>
          <w:szCs w:val="24"/>
        </w:rPr>
        <w:t>170</w:t>
      </w:r>
      <w:r w:rsidR="00875BF0" w:rsidRPr="00D9520C">
        <w:rPr>
          <w:rFonts w:ascii="Times New Roman" w:hAnsi="Times New Roman" w:cs="Times New Roman"/>
          <w:sz w:val="24"/>
          <w:szCs w:val="24"/>
        </w:rPr>
        <w:t>,</w:t>
      </w:r>
      <w:r w:rsidRPr="00D9520C">
        <w:rPr>
          <w:rFonts w:ascii="Times New Roman" w:hAnsi="Times New Roman" w:cs="Times New Roman"/>
          <w:sz w:val="24"/>
          <w:szCs w:val="24"/>
        </w:rPr>
        <w:t>37;</w:t>
      </w:r>
    </w:p>
    <w:p w14:paraId="117C915C" w14:textId="77777777" w:rsidR="00C410C2" w:rsidRPr="00D9520C" w:rsidRDefault="00A443B3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D9520C">
        <w:rPr>
          <w:rFonts w:ascii="Times New Roman" w:hAnsi="Times New Roman" w:cs="Times New Roman"/>
          <w:sz w:val="24"/>
          <w:szCs w:val="24"/>
        </w:rPr>
        <w:t>COVID-19 RNS noteikšana (reaģentu komplekti PĶR reālajā laikā SARS-CoV-2 (2019nCoV) RNS ātrai diagnostikai un diferenciāldiagnostikai) - izmeklējums ar  GENEXPERT reaģentiem izmaksā</w:t>
      </w:r>
      <w:r w:rsidR="00875BF0" w:rsidRPr="00D9520C">
        <w:rPr>
          <w:rFonts w:ascii="Times New Roman" w:hAnsi="Times New Roman" w:cs="Times New Roman"/>
          <w:sz w:val="24"/>
          <w:szCs w:val="24"/>
        </w:rPr>
        <w:t xml:space="preserve"> EUR</w:t>
      </w:r>
      <w:r w:rsidRPr="00D9520C">
        <w:rPr>
          <w:rFonts w:ascii="Times New Roman" w:hAnsi="Times New Roman" w:cs="Times New Roman"/>
          <w:sz w:val="24"/>
          <w:szCs w:val="24"/>
        </w:rPr>
        <w:t xml:space="preserve"> 56</w:t>
      </w:r>
      <w:r w:rsidR="00875BF0" w:rsidRPr="00D9520C">
        <w:rPr>
          <w:rFonts w:ascii="Times New Roman" w:hAnsi="Times New Roman" w:cs="Times New Roman"/>
          <w:sz w:val="24"/>
          <w:szCs w:val="24"/>
        </w:rPr>
        <w:t>,</w:t>
      </w:r>
      <w:r w:rsidRPr="00D9520C">
        <w:rPr>
          <w:rFonts w:ascii="Times New Roman" w:hAnsi="Times New Roman" w:cs="Times New Roman"/>
          <w:sz w:val="24"/>
          <w:szCs w:val="24"/>
        </w:rPr>
        <w:t>63;</w:t>
      </w:r>
    </w:p>
    <w:p w14:paraId="72E14206" w14:textId="77777777" w:rsidR="00E74451" w:rsidRPr="00D9520C" w:rsidRDefault="003110F2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E91051">
        <w:rPr>
          <w:rFonts w:ascii="Times New Roman" w:hAnsi="Times New Roman" w:cs="Times New Roman"/>
          <w:sz w:val="24"/>
          <w:szCs w:val="24"/>
        </w:rPr>
        <w:t xml:space="preserve">no pacienta </w:t>
      </w:r>
      <w:r w:rsidR="00550B7B" w:rsidRPr="00E91051">
        <w:rPr>
          <w:rFonts w:ascii="Times New Roman" w:hAnsi="Times New Roman" w:cs="Times New Roman"/>
          <w:sz w:val="24"/>
          <w:szCs w:val="24"/>
        </w:rPr>
        <w:t>netiek</w:t>
      </w:r>
      <w:r w:rsidRPr="00E91051">
        <w:rPr>
          <w:rFonts w:ascii="Times New Roman" w:hAnsi="Times New Roman" w:cs="Times New Roman"/>
          <w:sz w:val="24"/>
          <w:szCs w:val="24"/>
        </w:rPr>
        <w:t xml:space="preserve"> iekasēt</w:t>
      </w:r>
      <w:r w:rsidR="00D6331B" w:rsidRPr="00E91051">
        <w:rPr>
          <w:rFonts w:ascii="Times New Roman" w:hAnsi="Times New Roman" w:cs="Times New Roman"/>
          <w:sz w:val="24"/>
          <w:szCs w:val="24"/>
        </w:rPr>
        <w:t>a samaksa</w:t>
      </w:r>
      <w:r w:rsidRPr="00E91051">
        <w:rPr>
          <w:rFonts w:ascii="Times New Roman" w:hAnsi="Times New Roman" w:cs="Times New Roman"/>
          <w:sz w:val="24"/>
          <w:szCs w:val="24"/>
        </w:rPr>
        <w:t xml:space="preserve"> par </w:t>
      </w:r>
      <w:r w:rsidR="00C5318F" w:rsidRPr="00E91051">
        <w:rPr>
          <w:rFonts w:ascii="Times New Roman" w:hAnsi="Times New Roman" w:cs="Times New Roman"/>
          <w:sz w:val="24"/>
          <w:szCs w:val="24"/>
        </w:rPr>
        <w:t>šajā pielikumā noteikto laboratorijas izmeklējumu veikšanu</w:t>
      </w:r>
      <w:r w:rsidRPr="00E91051">
        <w:rPr>
          <w:rFonts w:ascii="Times New Roman" w:hAnsi="Times New Roman" w:cs="Times New Roman"/>
          <w:sz w:val="24"/>
          <w:szCs w:val="24"/>
        </w:rPr>
        <w:t>;</w:t>
      </w:r>
    </w:p>
    <w:p w14:paraId="46AEC495" w14:textId="77777777" w:rsidR="00E74451" w:rsidRPr="005B2245" w:rsidRDefault="006E18EA" w:rsidP="00F964E8">
      <w:pPr>
        <w:pStyle w:val="ListParagraph"/>
        <w:numPr>
          <w:ilvl w:val="2"/>
          <w:numId w:val="27"/>
        </w:numPr>
        <w:spacing w:after="0" w:line="240" w:lineRule="auto"/>
        <w:ind w:right="-2" w:hanging="862"/>
        <w:jc w:val="both"/>
        <w:rPr>
          <w:rFonts w:ascii="Times New Roman" w:hAnsi="Times New Roman" w:cs="Times New Roman"/>
          <w:sz w:val="24"/>
          <w:szCs w:val="24"/>
        </w:rPr>
      </w:pPr>
      <w:r w:rsidRPr="00D9520C">
        <w:rPr>
          <w:rFonts w:ascii="Times New Roman" w:hAnsi="Times New Roman" w:cs="Times New Roman"/>
          <w:sz w:val="24"/>
          <w:szCs w:val="24"/>
        </w:rPr>
        <w:t>I</w:t>
      </w:r>
      <w:r w:rsidR="00A1457A" w:rsidRPr="00D9520C">
        <w:rPr>
          <w:rFonts w:ascii="Times New Roman" w:hAnsi="Times New Roman" w:cs="Times New Roman"/>
          <w:sz w:val="24"/>
          <w:szCs w:val="24"/>
        </w:rPr>
        <w:t>ZPILDĪTĀJS</w:t>
      </w:r>
      <w:r w:rsidRPr="00D9520C">
        <w:rPr>
          <w:rFonts w:ascii="Times New Roman" w:hAnsi="Times New Roman" w:cs="Times New Roman"/>
          <w:sz w:val="24"/>
          <w:szCs w:val="24"/>
        </w:rPr>
        <w:t xml:space="preserve"> </w:t>
      </w:r>
      <w:r w:rsidR="0026356A" w:rsidRPr="00D9520C">
        <w:rPr>
          <w:rFonts w:ascii="Times New Roman" w:hAnsi="Times New Roman" w:cs="Times New Roman"/>
          <w:sz w:val="24"/>
          <w:szCs w:val="24"/>
        </w:rPr>
        <w:t>iesniedz</w:t>
      </w:r>
      <w:r w:rsidR="003110F2" w:rsidRPr="00D9520C">
        <w:rPr>
          <w:rFonts w:ascii="Times New Roman" w:hAnsi="Times New Roman" w:cs="Times New Roman"/>
          <w:sz w:val="24"/>
          <w:szCs w:val="24"/>
        </w:rPr>
        <w:t xml:space="preserve"> </w:t>
      </w:r>
      <w:r w:rsidR="0026356A" w:rsidRPr="00D9520C">
        <w:rPr>
          <w:rFonts w:ascii="Times New Roman" w:hAnsi="Times New Roman" w:cs="Times New Roman"/>
          <w:sz w:val="24"/>
          <w:szCs w:val="24"/>
        </w:rPr>
        <w:t>D</w:t>
      </w:r>
      <w:r w:rsidR="00A1457A" w:rsidRPr="00D9520C">
        <w:rPr>
          <w:rFonts w:ascii="Times New Roman" w:hAnsi="Times New Roman" w:cs="Times New Roman"/>
          <w:sz w:val="24"/>
          <w:szCs w:val="24"/>
        </w:rPr>
        <w:t>IENESTAM</w:t>
      </w:r>
      <w:r w:rsidR="0026356A" w:rsidRPr="00D9520C">
        <w:rPr>
          <w:rFonts w:ascii="Times New Roman" w:hAnsi="Times New Roman" w:cs="Times New Roman"/>
          <w:sz w:val="24"/>
          <w:szCs w:val="24"/>
        </w:rPr>
        <w:t xml:space="preserve"> </w:t>
      </w:r>
      <w:r w:rsidR="003110F2" w:rsidRPr="00D9520C">
        <w:rPr>
          <w:rFonts w:ascii="Times New Roman" w:hAnsi="Times New Roman" w:cs="Times New Roman"/>
          <w:sz w:val="24"/>
          <w:szCs w:val="24"/>
        </w:rPr>
        <w:t>atskaiti par veikto manipulāciju klāstu un skaitu</w:t>
      </w:r>
      <w:r w:rsidR="0026356A" w:rsidRPr="00D9520C">
        <w:rPr>
          <w:rFonts w:ascii="Times New Roman" w:hAnsi="Times New Roman" w:cs="Times New Roman"/>
          <w:sz w:val="24"/>
          <w:szCs w:val="24"/>
        </w:rPr>
        <w:t xml:space="preserve">, nodrošinot, ka atskaitē norādītā informācija sakrīt ar </w:t>
      </w:r>
      <w:r w:rsidR="002B6D9A" w:rsidRPr="00D9520C">
        <w:rPr>
          <w:rFonts w:ascii="Times New Roman" w:hAnsi="Times New Roman" w:cs="Times New Roman"/>
          <w:sz w:val="24"/>
          <w:szCs w:val="24"/>
        </w:rPr>
        <w:t xml:space="preserve">šajā </w:t>
      </w:r>
      <w:r w:rsidR="002B6D9A" w:rsidRPr="005B2245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26356A" w:rsidRPr="005B2245">
        <w:rPr>
          <w:rFonts w:ascii="Times New Roman" w:hAnsi="Times New Roman" w:cs="Times New Roman"/>
          <w:sz w:val="24"/>
          <w:szCs w:val="24"/>
        </w:rPr>
        <w:t>1.</w:t>
      </w:r>
      <w:r w:rsidR="002B6D9A" w:rsidRPr="005B2245">
        <w:rPr>
          <w:rFonts w:ascii="Times New Roman" w:hAnsi="Times New Roman" w:cs="Times New Roman"/>
          <w:sz w:val="24"/>
          <w:szCs w:val="24"/>
        </w:rPr>
        <w:t>3</w:t>
      </w:r>
      <w:r w:rsidR="0026356A" w:rsidRPr="005B2245">
        <w:rPr>
          <w:rFonts w:ascii="Times New Roman" w:hAnsi="Times New Roman" w:cs="Times New Roman"/>
          <w:sz w:val="24"/>
          <w:szCs w:val="24"/>
        </w:rPr>
        <w:t>.punktā noteiktajā kārtībā uzskaitītajām manipulācijām</w:t>
      </w:r>
      <w:r w:rsidR="00E74451" w:rsidRPr="005B2245">
        <w:rPr>
          <w:rFonts w:ascii="Times New Roman" w:hAnsi="Times New Roman" w:cs="Times New Roman"/>
          <w:sz w:val="24"/>
          <w:szCs w:val="24"/>
        </w:rPr>
        <w:t>.</w:t>
      </w:r>
    </w:p>
    <w:p w14:paraId="39B87141" w14:textId="77777777" w:rsidR="00A443B3" w:rsidRPr="005B2245" w:rsidRDefault="00A443B3" w:rsidP="00A443B3">
      <w:pPr>
        <w:pStyle w:val="ListParagraph"/>
        <w:spacing w:after="0" w:line="240" w:lineRule="auto"/>
        <w:ind w:left="1855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DD9E61" w14:textId="6A6E04B2" w:rsidR="00A33CE3" w:rsidRPr="005B2245" w:rsidRDefault="006E18EA" w:rsidP="00C410C2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B2245">
        <w:rPr>
          <w:rFonts w:ascii="Times New Roman" w:hAnsi="Times New Roman" w:cs="Times New Roman"/>
          <w:sz w:val="24"/>
          <w:szCs w:val="24"/>
        </w:rPr>
        <w:t>I</w:t>
      </w:r>
      <w:r w:rsidR="005E34A9" w:rsidRPr="005B2245">
        <w:rPr>
          <w:rFonts w:ascii="Times New Roman" w:hAnsi="Times New Roman" w:cs="Times New Roman"/>
          <w:sz w:val="24"/>
          <w:szCs w:val="24"/>
        </w:rPr>
        <w:t>ZPILDĪTĀJS</w:t>
      </w:r>
      <w:r w:rsidRPr="005B2245">
        <w:rPr>
          <w:rFonts w:ascii="Times New Roman" w:hAnsi="Times New Roman" w:cs="Times New Roman"/>
          <w:sz w:val="24"/>
          <w:szCs w:val="24"/>
        </w:rPr>
        <w:t xml:space="preserve"> </w:t>
      </w:r>
      <w:r w:rsidR="00A33CE3" w:rsidRPr="005B2245">
        <w:rPr>
          <w:rFonts w:ascii="Times New Roman" w:hAnsi="Times New Roman" w:cs="Times New Roman"/>
          <w:sz w:val="24"/>
          <w:szCs w:val="24"/>
        </w:rPr>
        <w:t xml:space="preserve">līdz </w:t>
      </w:r>
      <w:r w:rsidR="005B2245" w:rsidRPr="005B2245">
        <w:rPr>
          <w:rFonts w:ascii="Times New Roman" w:hAnsi="Times New Roman" w:cs="Times New Roman"/>
          <w:sz w:val="24"/>
          <w:szCs w:val="24"/>
        </w:rPr>
        <w:t>2020.gada</w:t>
      </w:r>
      <w:r w:rsidR="00A33CE3" w:rsidRPr="005B2245">
        <w:rPr>
          <w:rFonts w:ascii="Times New Roman" w:hAnsi="Times New Roman" w:cs="Times New Roman"/>
          <w:sz w:val="24"/>
          <w:szCs w:val="24"/>
        </w:rPr>
        <w:t xml:space="preserve"> </w:t>
      </w:r>
      <w:r w:rsidR="004836B9" w:rsidRPr="005B2245">
        <w:rPr>
          <w:rFonts w:ascii="Times New Roman" w:hAnsi="Times New Roman" w:cs="Times New Roman"/>
          <w:sz w:val="24"/>
          <w:szCs w:val="24"/>
        </w:rPr>
        <w:t>5</w:t>
      </w:r>
      <w:r w:rsidR="00A33CE3" w:rsidRPr="005B2245">
        <w:rPr>
          <w:rFonts w:ascii="Times New Roman" w:hAnsi="Times New Roman" w:cs="Times New Roman"/>
          <w:sz w:val="24"/>
          <w:szCs w:val="24"/>
        </w:rPr>
        <w:t>.</w:t>
      </w:r>
      <w:r w:rsidR="006E3EA2" w:rsidRPr="005B2245">
        <w:rPr>
          <w:rFonts w:ascii="Times New Roman" w:hAnsi="Times New Roman" w:cs="Times New Roman"/>
          <w:sz w:val="24"/>
          <w:szCs w:val="24"/>
        </w:rPr>
        <w:t xml:space="preserve">maijam </w:t>
      </w:r>
      <w:r w:rsidR="006F0BB4" w:rsidRPr="005B2245">
        <w:rPr>
          <w:rFonts w:ascii="Times New Roman" w:hAnsi="Times New Roman" w:cs="Times New Roman"/>
          <w:sz w:val="24"/>
          <w:szCs w:val="24"/>
        </w:rPr>
        <w:t>par februāra</w:t>
      </w:r>
      <w:r w:rsidR="004836B9" w:rsidRPr="005B2245">
        <w:rPr>
          <w:rFonts w:ascii="Times New Roman" w:hAnsi="Times New Roman" w:cs="Times New Roman"/>
          <w:sz w:val="24"/>
          <w:szCs w:val="24"/>
        </w:rPr>
        <w:t xml:space="preserve"> un</w:t>
      </w:r>
      <w:r w:rsidR="006E3EA2" w:rsidRPr="005B2245">
        <w:rPr>
          <w:rFonts w:ascii="Times New Roman" w:hAnsi="Times New Roman" w:cs="Times New Roman"/>
          <w:sz w:val="24"/>
          <w:szCs w:val="24"/>
        </w:rPr>
        <w:t xml:space="preserve"> </w:t>
      </w:r>
      <w:r w:rsidR="006F0BB4" w:rsidRPr="005B2245">
        <w:rPr>
          <w:rFonts w:ascii="Times New Roman" w:hAnsi="Times New Roman" w:cs="Times New Roman"/>
          <w:sz w:val="24"/>
          <w:szCs w:val="24"/>
        </w:rPr>
        <w:t>marta</w:t>
      </w:r>
      <w:r w:rsidR="006E3EA2" w:rsidRPr="005B2245">
        <w:rPr>
          <w:rFonts w:ascii="Times New Roman" w:hAnsi="Times New Roman" w:cs="Times New Roman"/>
          <w:sz w:val="24"/>
          <w:szCs w:val="24"/>
        </w:rPr>
        <w:t xml:space="preserve"> </w:t>
      </w:r>
      <w:r w:rsidR="006F0BB4" w:rsidRPr="005B2245">
        <w:rPr>
          <w:rFonts w:ascii="Times New Roman" w:hAnsi="Times New Roman" w:cs="Times New Roman"/>
          <w:sz w:val="24"/>
          <w:szCs w:val="24"/>
        </w:rPr>
        <w:t>mēne</w:t>
      </w:r>
      <w:r w:rsidR="002B6D9A" w:rsidRPr="005B2245">
        <w:rPr>
          <w:rFonts w:ascii="Times New Roman" w:hAnsi="Times New Roman" w:cs="Times New Roman"/>
          <w:sz w:val="24"/>
          <w:szCs w:val="24"/>
        </w:rPr>
        <w:t>si un</w:t>
      </w:r>
      <w:r w:rsidR="006F0BB4" w:rsidRPr="005B2245">
        <w:rPr>
          <w:rFonts w:ascii="Times New Roman" w:hAnsi="Times New Roman" w:cs="Times New Roman"/>
          <w:sz w:val="24"/>
          <w:szCs w:val="24"/>
        </w:rPr>
        <w:t xml:space="preserve"> līdz </w:t>
      </w:r>
      <w:r w:rsidR="006E3EA2" w:rsidRPr="005B2245">
        <w:rPr>
          <w:rFonts w:ascii="Times New Roman" w:hAnsi="Times New Roman" w:cs="Times New Roman"/>
          <w:sz w:val="24"/>
          <w:szCs w:val="24"/>
        </w:rPr>
        <w:t xml:space="preserve">katra mēneša </w:t>
      </w:r>
      <w:r w:rsidR="006F0BB4" w:rsidRPr="005B2245">
        <w:rPr>
          <w:rFonts w:ascii="Times New Roman" w:hAnsi="Times New Roman" w:cs="Times New Roman"/>
          <w:sz w:val="24"/>
          <w:szCs w:val="24"/>
        </w:rPr>
        <w:t>15.datumam par nākamiem kalendār</w:t>
      </w:r>
      <w:r w:rsidR="002E6B67" w:rsidRPr="005B2245">
        <w:rPr>
          <w:rFonts w:ascii="Times New Roman" w:hAnsi="Times New Roman" w:cs="Times New Roman"/>
          <w:sz w:val="24"/>
          <w:szCs w:val="24"/>
        </w:rPr>
        <w:t xml:space="preserve">iem </w:t>
      </w:r>
      <w:r w:rsidR="006F0BB4" w:rsidRPr="005B2245">
        <w:rPr>
          <w:rFonts w:ascii="Times New Roman" w:hAnsi="Times New Roman" w:cs="Times New Roman"/>
          <w:sz w:val="24"/>
          <w:szCs w:val="24"/>
        </w:rPr>
        <w:t xml:space="preserve">mēnešiem </w:t>
      </w:r>
      <w:r w:rsidR="00A33CE3" w:rsidRPr="005B2245">
        <w:rPr>
          <w:rFonts w:ascii="Times New Roman" w:hAnsi="Times New Roman" w:cs="Times New Roman"/>
          <w:sz w:val="24"/>
          <w:szCs w:val="24"/>
        </w:rPr>
        <w:t>sagatavo un nosūt</w:t>
      </w:r>
      <w:r w:rsidR="002E6B67" w:rsidRPr="005B2245">
        <w:rPr>
          <w:rFonts w:ascii="Times New Roman" w:hAnsi="Times New Roman" w:cs="Times New Roman"/>
          <w:sz w:val="24"/>
          <w:szCs w:val="24"/>
        </w:rPr>
        <w:t>a</w:t>
      </w:r>
      <w:r w:rsidR="00A33CE3" w:rsidRPr="005B2245">
        <w:rPr>
          <w:rFonts w:ascii="Times New Roman" w:hAnsi="Times New Roman" w:cs="Times New Roman"/>
          <w:sz w:val="24"/>
          <w:szCs w:val="24"/>
        </w:rPr>
        <w:t xml:space="preserve"> uz </w:t>
      </w:r>
      <w:r w:rsidR="000F101D" w:rsidRPr="005B22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DIENESTA </w:t>
      </w:r>
      <w:r w:rsidR="00A33CE3" w:rsidRPr="005B2245">
        <w:rPr>
          <w:rFonts w:ascii="Times New Roman" w:hAnsi="Times New Roman" w:cs="Times New Roman"/>
          <w:sz w:val="24"/>
          <w:szCs w:val="24"/>
        </w:rPr>
        <w:t>elektroniskā pasta adresi</w:t>
      </w:r>
      <w:r w:rsidR="00613D83" w:rsidRPr="005B2245">
        <w:rPr>
          <w:rFonts w:ascii="Times New Roman" w:hAnsi="Times New Roman" w:cs="Times New Roman"/>
          <w:sz w:val="24"/>
          <w:szCs w:val="24"/>
        </w:rPr>
        <w:t>:</w:t>
      </w:r>
      <w:r w:rsidR="00A33CE3" w:rsidRPr="005B22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33CE3" w:rsidRPr="005B2245">
          <w:rPr>
            <w:rStyle w:val="Hyperlink"/>
            <w:rFonts w:ascii="Times New Roman" w:hAnsi="Times New Roman" w:cs="Times New Roman"/>
            <w:sz w:val="24"/>
            <w:szCs w:val="24"/>
          </w:rPr>
          <w:t>nvd@vmnvd.gov.lv</w:t>
        </w:r>
      </w:hyperlink>
      <w:r w:rsidR="00A33CE3" w:rsidRPr="005B2245">
        <w:rPr>
          <w:rFonts w:ascii="Times New Roman" w:hAnsi="Times New Roman" w:cs="Times New Roman"/>
          <w:sz w:val="24"/>
          <w:szCs w:val="24"/>
        </w:rPr>
        <w:t xml:space="preserve">, </w:t>
      </w:r>
      <w:r w:rsidR="002E6B67" w:rsidRPr="005B2245">
        <w:rPr>
          <w:rFonts w:ascii="Times New Roman" w:hAnsi="Times New Roman" w:cs="Times New Roman"/>
          <w:sz w:val="24"/>
          <w:szCs w:val="24"/>
        </w:rPr>
        <w:t xml:space="preserve">šādus dokumentus </w:t>
      </w:r>
      <w:r w:rsidR="00A33CE3" w:rsidRPr="005B2245">
        <w:rPr>
          <w:rFonts w:ascii="Times New Roman" w:hAnsi="Times New Roman" w:cs="Times New Roman"/>
          <w:sz w:val="24"/>
          <w:szCs w:val="24"/>
        </w:rPr>
        <w:t>par iepriekšējo kalendāro mēnesi:</w:t>
      </w:r>
    </w:p>
    <w:p w14:paraId="1811F24A" w14:textId="77777777" w:rsidR="00A33CE3" w:rsidRPr="005B2245" w:rsidRDefault="00A33CE3" w:rsidP="00F964E8">
      <w:pPr>
        <w:pStyle w:val="ListParagraph"/>
        <w:numPr>
          <w:ilvl w:val="1"/>
          <w:numId w:val="27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245">
        <w:rPr>
          <w:rFonts w:ascii="Times New Roman" w:hAnsi="Times New Roman" w:cs="Times New Roman"/>
          <w:sz w:val="24"/>
          <w:szCs w:val="24"/>
        </w:rPr>
        <w:t xml:space="preserve">šā pielikuma </w:t>
      </w:r>
      <w:r w:rsidR="00DE3AEA" w:rsidRPr="005B2245">
        <w:rPr>
          <w:rFonts w:ascii="Times New Roman" w:hAnsi="Times New Roman" w:cs="Times New Roman"/>
          <w:sz w:val="24"/>
          <w:szCs w:val="24"/>
        </w:rPr>
        <w:t>2.1., 2.2.</w:t>
      </w:r>
      <w:r w:rsidR="006F0BB4" w:rsidRPr="005B2245">
        <w:rPr>
          <w:rFonts w:ascii="Times New Roman" w:hAnsi="Times New Roman" w:cs="Times New Roman"/>
          <w:sz w:val="24"/>
          <w:szCs w:val="24"/>
        </w:rPr>
        <w:t>2. un 2.3.</w:t>
      </w:r>
      <w:r w:rsidR="00A443B3" w:rsidRPr="005B2245">
        <w:rPr>
          <w:rFonts w:ascii="Times New Roman" w:hAnsi="Times New Roman" w:cs="Times New Roman"/>
          <w:sz w:val="24"/>
          <w:szCs w:val="24"/>
        </w:rPr>
        <w:t>6</w:t>
      </w:r>
      <w:r w:rsidR="006F0BB4" w:rsidRPr="005B2245">
        <w:rPr>
          <w:rFonts w:ascii="Times New Roman" w:hAnsi="Times New Roman" w:cs="Times New Roman"/>
          <w:sz w:val="24"/>
          <w:szCs w:val="24"/>
        </w:rPr>
        <w:t>.</w:t>
      </w:r>
      <w:r w:rsidRPr="005B2245">
        <w:rPr>
          <w:rFonts w:ascii="Times New Roman" w:hAnsi="Times New Roman" w:cs="Times New Roman"/>
          <w:sz w:val="24"/>
          <w:szCs w:val="24"/>
        </w:rPr>
        <w:t>apakšpunkt</w:t>
      </w:r>
      <w:r w:rsidR="002B6D9A" w:rsidRPr="005B2245">
        <w:rPr>
          <w:rFonts w:ascii="Times New Roman" w:hAnsi="Times New Roman" w:cs="Times New Roman"/>
          <w:sz w:val="24"/>
          <w:szCs w:val="24"/>
        </w:rPr>
        <w:t>ā</w:t>
      </w:r>
      <w:r w:rsidRPr="005B2245">
        <w:rPr>
          <w:rFonts w:ascii="Times New Roman" w:hAnsi="Times New Roman" w:cs="Times New Roman"/>
          <w:sz w:val="24"/>
          <w:szCs w:val="24"/>
        </w:rPr>
        <w:t xml:space="preserve"> noteiktās atskaites;</w:t>
      </w:r>
    </w:p>
    <w:p w14:paraId="0388CEE3" w14:textId="77777777" w:rsidR="00E74451" w:rsidRPr="005B2245" w:rsidRDefault="00A443B3" w:rsidP="00F964E8">
      <w:pPr>
        <w:pStyle w:val="ListParagraph"/>
        <w:numPr>
          <w:ilvl w:val="1"/>
          <w:numId w:val="27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245">
        <w:rPr>
          <w:rFonts w:ascii="Times New Roman" w:hAnsi="Times New Roman" w:cs="Times New Roman"/>
          <w:sz w:val="24"/>
          <w:szCs w:val="24"/>
        </w:rPr>
        <w:t xml:space="preserve">atsevišķu </w:t>
      </w:r>
      <w:r w:rsidR="00B22E96" w:rsidRPr="005B2245">
        <w:rPr>
          <w:rFonts w:ascii="Times New Roman" w:hAnsi="Times New Roman" w:cs="Times New Roman"/>
          <w:sz w:val="24"/>
          <w:szCs w:val="24"/>
        </w:rPr>
        <w:t xml:space="preserve">rēķinu par sniegtiem pakalpojumiem </w:t>
      </w:r>
      <w:r w:rsidRPr="005B2245">
        <w:rPr>
          <w:rFonts w:ascii="Times New Roman" w:hAnsi="Times New Roman" w:cs="Times New Roman"/>
          <w:sz w:val="24"/>
          <w:szCs w:val="24"/>
        </w:rPr>
        <w:t xml:space="preserve">šī pielikuma noteiktā kārtībā </w:t>
      </w:r>
      <w:r w:rsidR="00B22E96" w:rsidRPr="005B2245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A33CE3" w:rsidRPr="005B2245">
        <w:rPr>
          <w:rFonts w:ascii="Times New Roman" w:hAnsi="Times New Roman" w:cs="Times New Roman"/>
          <w:sz w:val="24"/>
          <w:szCs w:val="24"/>
        </w:rPr>
        <w:t>atskaitēs iekļautai informācijai.</w:t>
      </w:r>
      <w:r w:rsidR="00D32C21" w:rsidRPr="005B2245">
        <w:rPr>
          <w:rFonts w:ascii="Times New Roman" w:hAnsi="Times New Roman" w:cs="Times New Roman"/>
          <w:sz w:val="24"/>
          <w:szCs w:val="24"/>
        </w:rPr>
        <w:t xml:space="preserve"> IZPILDĪTĀJS rēķinā norāda tikai tos  pakalpojumus, kas sniegti šī pielikuma noteiktā kārtībā, samazinot rēķina summu par</w:t>
      </w:r>
      <w:r w:rsidR="000208E3" w:rsidRPr="005B2245">
        <w:rPr>
          <w:rFonts w:ascii="Times New Roman" w:hAnsi="Times New Roman" w:cs="Times New Roman"/>
          <w:sz w:val="24"/>
          <w:szCs w:val="24"/>
        </w:rPr>
        <w:t xml:space="preserve"> reaģentu komplektu </w:t>
      </w:r>
      <w:r w:rsidR="000208E3" w:rsidRPr="005B2245">
        <w:rPr>
          <w:rFonts w:ascii="Times New Roman" w:eastAsia="Times New Roman" w:hAnsi="Times New Roman" w:cs="Times New Roman"/>
          <w:sz w:val="24"/>
          <w:szCs w:val="24"/>
          <w:lang w:eastAsia="en-GB"/>
        </w:rPr>
        <w:t>iegādes izdevumu</w:t>
      </w:r>
      <w:r w:rsidR="00F70D33" w:rsidRPr="005B22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summu (</w:t>
      </w:r>
      <w:r w:rsidR="00D32C21" w:rsidRPr="005B2245">
        <w:rPr>
          <w:rFonts w:ascii="Times New Roman" w:hAnsi="Times New Roman" w:cs="Times New Roman"/>
          <w:sz w:val="24"/>
          <w:szCs w:val="24"/>
        </w:rPr>
        <w:t>izlietotajiem reaģentiem</w:t>
      </w:r>
      <w:r w:rsidR="00F70D33" w:rsidRPr="005B2245">
        <w:rPr>
          <w:rFonts w:ascii="Times New Roman" w:hAnsi="Times New Roman" w:cs="Times New Roman"/>
          <w:sz w:val="24"/>
          <w:szCs w:val="24"/>
        </w:rPr>
        <w:t>)</w:t>
      </w:r>
      <w:r w:rsidR="00A16AB3" w:rsidRPr="005B2245">
        <w:rPr>
          <w:rFonts w:ascii="Times New Roman" w:hAnsi="Times New Roman" w:cs="Times New Roman"/>
          <w:sz w:val="24"/>
          <w:szCs w:val="24"/>
        </w:rPr>
        <w:t>,</w:t>
      </w:r>
      <w:r w:rsidR="00E72A1B" w:rsidRPr="005B2245">
        <w:rPr>
          <w:rFonts w:ascii="Times New Roman" w:hAnsi="Times New Roman" w:cs="Times New Roman"/>
          <w:sz w:val="24"/>
          <w:szCs w:val="24"/>
        </w:rPr>
        <w:t xml:space="preserve"> </w:t>
      </w:r>
      <w:r w:rsidR="00A16AB3" w:rsidRPr="005B2245">
        <w:rPr>
          <w:rFonts w:ascii="Times New Roman" w:eastAsia="Times New Roman" w:hAnsi="Times New Roman" w:cs="Times New Roman"/>
          <w:sz w:val="24"/>
          <w:szCs w:val="24"/>
          <w:lang w:eastAsia="en-GB"/>
        </w:rPr>
        <w:t>par kuriem iesniegta</w:t>
      </w:r>
      <w:r w:rsidR="00330D7F" w:rsidRPr="005B22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atskaite</w:t>
      </w:r>
      <w:r w:rsidR="00A16AB3" w:rsidRPr="005B2245">
        <w:rPr>
          <w:rFonts w:ascii="Times New Roman" w:hAnsi="Times New Roman" w:cs="Times New Roman"/>
          <w:sz w:val="24"/>
          <w:szCs w:val="24"/>
        </w:rPr>
        <w:t xml:space="preserve"> </w:t>
      </w:r>
      <w:r w:rsidR="00E72A1B" w:rsidRPr="005B2245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0208E3" w:rsidRPr="005B2245">
        <w:rPr>
          <w:rFonts w:ascii="Times New Roman" w:hAnsi="Times New Roman" w:cs="Times New Roman"/>
          <w:sz w:val="24"/>
          <w:szCs w:val="24"/>
        </w:rPr>
        <w:t xml:space="preserve">Līguma </w:t>
      </w:r>
      <w:r w:rsidR="00E72A1B" w:rsidRPr="005B2245">
        <w:rPr>
          <w:rFonts w:ascii="Times New Roman" w:hAnsi="Times New Roman" w:cs="Times New Roman"/>
          <w:sz w:val="24"/>
          <w:szCs w:val="24"/>
        </w:rPr>
        <w:t>10.pielikum</w:t>
      </w:r>
      <w:r w:rsidR="006E3EA2" w:rsidRPr="005B2245">
        <w:rPr>
          <w:rFonts w:ascii="Times New Roman" w:hAnsi="Times New Roman" w:cs="Times New Roman"/>
          <w:sz w:val="24"/>
          <w:szCs w:val="24"/>
        </w:rPr>
        <w:t>am.</w:t>
      </w:r>
    </w:p>
    <w:p w14:paraId="32759150" w14:textId="77777777" w:rsidR="00D9520C" w:rsidRPr="00F964E8" w:rsidRDefault="00D9520C" w:rsidP="00F964E8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3548267" w14:textId="7427A478" w:rsidR="00E74451" w:rsidRPr="00131AED" w:rsidRDefault="006E18EA" w:rsidP="00C410C2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E34A9" w:rsidRPr="00F964E8">
        <w:rPr>
          <w:rFonts w:ascii="Times New Roman" w:hAnsi="Times New Roman" w:cs="Times New Roman"/>
          <w:sz w:val="24"/>
          <w:szCs w:val="24"/>
        </w:rPr>
        <w:t>ZPILDĪTĀJS</w:t>
      </w:r>
      <w:r w:rsidRPr="00F964E8">
        <w:rPr>
          <w:rFonts w:ascii="Times New Roman" w:hAnsi="Times New Roman" w:cs="Times New Roman"/>
          <w:sz w:val="24"/>
          <w:szCs w:val="24"/>
        </w:rPr>
        <w:t xml:space="preserve"> </w:t>
      </w:r>
      <w:r w:rsidR="004836B9">
        <w:rPr>
          <w:rFonts w:ascii="Times New Roman" w:hAnsi="Times New Roman" w:cs="Times New Roman"/>
          <w:sz w:val="24"/>
          <w:szCs w:val="24"/>
        </w:rPr>
        <w:t>apņemas sniegt</w:t>
      </w:r>
      <w:r w:rsidR="004836B9" w:rsidRPr="00F964E8">
        <w:rPr>
          <w:rFonts w:ascii="Times New Roman" w:hAnsi="Times New Roman" w:cs="Times New Roman"/>
          <w:sz w:val="24"/>
          <w:szCs w:val="24"/>
        </w:rPr>
        <w:t xml:space="preserve"> DIENESTA</w:t>
      </w:r>
      <w:r w:rsidR="004836B9">
        <w:rPr>
          <w:rFonts w:ascii="Times New Roman" w:hAnsi="Times New Roman" w:cs="Times New Roman"/>
          <w:sz w:val="24"/>
          <w:szCs w:val="24"/>
        </w:rPr>
        <w:t>M</w:t>
      </w:r>
      <w:r w:rsidR="004836B9" w:rsidRPr="00F964E8">
        <w:rPr>
          <w:rFonts w:ascii="Times New Roman" w:hAnsi="Times New Roman" w:cs="Times New Roman"/>
          <w:sz w:val="24"/>
          <w:szCs w:val="24"/>
        </w:rPr>
        <w:t xml:space="preserve"> operatīvu informāciju par Līguma ietvaros sniegtie</w:t>
      </w:r>
      <w:r w:rsidR="004836B9" w:rsidRPr="00131AED">
        <w:rPr>
          <w:rFonts w:ascii="Times New Roman" w:hAnsi="Times New Roman" w:cs="Times New Roman"/>
          <w:sz w:val="24"/>
          <w:szCs w:val="24"/>
        </w:rPr>
        <w:t>m pakalpojumiem 24 stundu laikā</w:t>
      </w:r>
      <w:r w:rsidR="004836B9">
        <w:rPr>
          <w:rFonts w:ascii="Times New Roman" w:hAnsi="Times New Roman" w:cs="Times New Roman"/>
          <w:sz w:val="24"/>
          <w:szCs w:val="24"/>
        </w:rPr>
        <w:t xml:space="preserve"> no pieprasījuma saņemšanas brīža vai citā DIENESTA noteiktajā termiņā</w:t>
      </w:r>
      <w:r w:rsidR="00D45406" w:rsidRPr="00131AED">
        <w:rPr>
          <w:rFonts w:ascii="Times New Roman" w:hAnsi="Times New Roman" w:cs="Times New Roman"/>
          <w:sz w:val="24"/>
          <w:szCs w:val="24"/>
        </w:rPr>
        <w:t>.</w:t>
      </w:r>
    </w:p>
    <w:p w14:paraId="3C1B892D" w14:textId="77777777" w:rsidR="00D9520C" w:rsidRPr="00F964E8" w:rsidRDefault="00D9520C" w:rsidP="00F964E8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76A626F" w14:textId="77777777" w:rsidR="00B22E96" w:rsidRPr="00E91051" w:rsidRDefault="006E18EA" w:rsidP="00C410C2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5E34A9"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>IENESTS</w:t>
      </w:r>
      <w:r w:rsidR="00E74451"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apņemas pārskaitīt </w:t>
      </w:r>
      <w:r w:rsidRPr="00F964E8">
        <w:rPr>
          <w:rFonts w:ascii="Times New Roman" w:hAnsi="Times New Roman" w:cs="Times New Roman"/>
          <w:sz w:val="24"/>
          <w:szCs w:val="24"/>
        </w:rPr>
        <w:t>I</w:t>
      </w:r>
      <w:r w:rsidR="005E34A9" w:rsidRPr="00F964E8">
        <w:rPr>
          <w:rFonts w:ascii="Times New Roman" w:hAnsi="Times New Roman" w:cs="Times New Roman"/>
          <w:sz w:val="24"/>
          <w:szCs w:val="24"/>
        </w:rPr>
        <w:t>ZPILDĪTĀJAM</w:t>
      </w:r>
      <w:r w:rsidRPr="00F964E8">
        <w:rPr>
          <w:rFonts w:ascii="Times New Roman" w:hAnsi="Times New Roman" w:cs="Times New Roman"/>
          <w:sz w:val="24"/>
          <w:szCs w:val="24"/>
        </w:rPr>
        <w:t xml:space="preserve"> </w:t>
      </w:r>
      <w:r w:rsidR="00E74451"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finanšu līdzekļus par nodrošinātiem un sniegtiem pakalpojumiem uz </w:t>
      </w:r>
      <w:r w:rsidRPr="00131AED">
        <w:rPr>
          <w:rFonts w:ascii="Times New Roman" w:hAnsi="Times New Roman" w:cs="Times New Roman"/>
          <w:sz w:val="24"/>
          <w:szCs w:val="24"/>
        </w:rPr>
        <w:t>I</w:t>
      </w:r>
      <w:r w:rsidR="005E34A9" w:rsidRPr="00131AED">
        <w:rPr>
          <w:rFonts w:ascii="Times New Roman" w:hAnsi="Times New Roman" w:cs="Times New Roman"/>
          <w:sz w:val="24"/>
          <w:szCs w:val="24"/>
        </w:rPr>
        <w:t>ZPILDĪTĀJA</w:t>
      </w:r>
      <w:r w:rsidRPr="00131AED">
        <w:rPr>
          <w:rFonts w:ascii="Times New Roman" w:hAnsi="Times New Roman" w:cs="Times New Roman"/>
          <w:sz w:val="24"/>
          <w:szCs w:val="24"/>
        </w:rPr>
        <w:t xml:space="preserve"> </w:t>
      </w:r>
      <w:r w:rsidR="00E74451" w:rsidRPr="00131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norādīto kontu </w:t>
      </w:r>
      <w:r w:rsidR="00983988" w:rsidRPr="00131AED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E74451" w:rsidRPr="00131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983988" w:rsidRPr="00131AED">
        <w:rPr>
          <w:rFonts w:ascii="Times New Roman" w:eastAsia="Times New Roman" w:hAnsi="Times New Roman" w:cs="Times New Roman"/>
          <w:sz w:val="24"/>
          <w:szCs w:val="24"/>
          <w:lang w:eastAsia="en-GB"/>
        </w:rPr>
        <w:t>piecu</w:t>
      </w:r>
      <w:r w:rsidR="00E74451" w:rsidRPr="00131AE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6F0BB4" w:rsidRPr="00131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darba</w:t>
      </w:r>
      <w:r w:rsidR="00E74451" w:rsidRPr="00131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dienu laikā no dienas, kad ir </w:t>
      </w:r>
      <w:r w:rsidR="00983988" w:rsidRPr="00D9520C">
        <w:rPr>
          <w:rFonts w:ascii="Times New Roman" w:eastAsia="Times New Roman" w:hAnsi="Times New Roman" w:cs="Times New Roman"/>
          <w:sz w:val="24"/>
          <w:szCs w:val="24"/>
          <w:lang w:eastAsia="en-GB"/>
        </w:rPr>
        <w:t>saņemtas</w:t>
      </w:r>
      <w:r w:rsidR="00E67EA5" w:rsidRPr="00D952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šī pielikuma 3.punktā</w:t>
      </w:r>
      <w:r w:rsidR="00983988" w:rsidRPr="00D952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7EA5" w:rsidRPr="00D952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minētās </w:t>
      </w:r>
      <w:r w:rsidR="00983988" w:rsidRPr="00D9520C">
        <w:rPr>
          <w:rFonts w:ascii="Times New Roman" w:eastAsia="Times New Roman" w:hAnsi="Times New Roman" w:cs="Times New Roman"/>
          <w:sz w:val="24"/>
          <w:szCs w:val="24"/>
          <w:lang w:eastAsia="en-GB"/>
        </w:rPr>
        <w:t>atskaites un rēķins</w:t>
      </w:r>
      <w:r w:rsidR="00E74451" w:rsidRPr="00D9520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74F030F" w14:textId="77777777" w:rsidR="00D9520C" w:rsidRPr="00F964E8" w:rsidRDefault="00D9520C" w:rsidP="00F964E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D351BE8" w14:textId="77777777" w:rsidR="00522A73" w:rsidRPr="00F964E8" w:rsidRDefault="006E18EA" w:rsidP="00C410C2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hAnsi="Times New Roman" w:cs="Times New Roman"/>
          <w:sz w:val="24"/>
          <w:szCs w:val="24"/>
        </w:rPr>
        <w:t>D</w:t>
      </w:r>
      <w:r w:rsidR="005E34A9" w:rsidRPr="00F964E8">
        <w:rPr>
          <w:rFonts w:ascii="Times New Roman" w:hAnsi="Times New Roman" w:cs="Times New Roman"/>
          <w:sz w:val="24"/>
          <w:szCs w:val="24"/>
        </w:rPr>
        <w:t>IENESTS</w:t>
      </w:r>
      <w:r w:rsidR="00522A73" w:rsidRPr="00F964E8">
        <w:rPr>
          <w:rFonts w:ascii="Times New Roman" w:hAnsi="Times New Roman" w:cs="Times New Roman"/>
          <w:sz w:val="24"/>
          <w:szCs w:val="24"/>
        </w:rPr>
        <w:t xml:space="preserve"> līdz katra mēneša 15.datumam var veikt pakalpojumu priekšapmaksu</w:t>
      </w:r>
      <w:r w:rsidR="003C78EE" w:rsidRPr="00F964E8">
        <w:rPr>
          <w:rFonts w:ascii="Times New Roman" w:hAnsi="Times New Roman" w:cs="Times New Roman"/>
          <w:sz w:val="24"/>
          <w:szCs w:val="24"/>
        </w:rPr>
        <w:t xml:space="preserve">, </w:t>
      </w:r>
      <w:r w:rsidR="00522A73" w:rsidRPr="00F964E8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F964E8">
        <w:rPr>
          <w:rFonts w:ascii="Times New Roman" w:hAnsi="Times New Roman" w:cs="Times New Roman"/>
          <w:sz w:val="24"/>
          <w:szCs w:val="24"/>
        </w:rPr>
        <w:t>I</w:t>
      </w:r>
      <w:r w:rsidR="005F1BB2" w:rsidRPr="00F964E8">
        <w:rPr>
          <w:rFonts w:ascii="Times New Roman" w:hAnsi="Times New Roman" w:cs="Times New Roman"/>
          <w:sz w:val="24"/>
          <w:szCs w:val="24"/>
        </w:rPr>
        <w:t>ZPILDĪTĀJA</w:t>
      </w:r>
      <w:r w:rsidRPr="00F964E8">
        <w:rPr>
          <w:rFonts w:ascii="Times New Roman" w:hAnsi="Times New Roman" w:cs="Times New Roman"/>
          <w:sz w:val="24"/>
          <w:szCs w:val="24"/>
        </w:rPr>
        <w:t xml:space="preserve"> </w:t>
      </w:r>
      <w:r w:rsidR="00522A73" w:rsidRPr="00F964E8">
        <w:rPr>
          <w:rFonts w:ascii="Times New Roman" w:hAnsi="Times New Roman" w:cs="Times New Roman"/>
          <w:sz w:val="24"/>
          <w:szCs w:val="24"/>
        </w:rPr>
        <w:t>iesniegumu.</w:t>
      </w:r>
    </w:p>
    <w:p w14:paraId="097C7BBC" w14:textId="77777777" w:rsidR="00D9520C" w:rsidRPr="00F964E8" w:rsidRDefault="00D9520C" w:rsidP="00F964E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7A396B8" w14:textId="77777777" w:rsidR="00137B5B" w:rsidRPr="00F964E8" w:rsidRDefault="006E18EA" w:rsidP="00C410C2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5E34A9"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>IENESTAM</w:t>
      </w:r>
      <w:r w:rsidR="00E74451"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 tiesības pašam vai pie</w:t>
      </w:r>
      <w:r w:rsidR="001E5946"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>aicinot attiecīgus speciālistus</w:t>
      </w:r>
      <w:r w:rsidR="00E74451" w:rsidRPr="00F964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pārbaudīt sniegto pakalpojumu atbilstību šī pielikuma noteiktajām prasībām.</w:t>
      </w:r>
    </w:p>
    <w:p w14:paraId="29D9C5E5" w14:textId="77777777" w:rsidR="00F964E8" w:rsidRPr="00F964E8" w:rsidRDefault="00F964E8" w:rsidP="00F96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89ACBF" w14:textId="77777777" w:rsidR="00F964E8" w:rsidRDefault="00F964E8" w:rsidP="00F964E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6B4EAF7" w14:textId="77777777" w:rsidR="00F964E8" w:rsidRDefault="00F964E8" w:rsidP="00F964E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70"/>
      </w:tblGrid>
      <w:tr w:rsidR="00F964E8" w:rsidRPr="00B65B54" w14:paraId="20E79780" w14:textId="77777777" w:rsidTr="00131AED">
        <w:trPr>
          <w:trHeight w:val="299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B576" w14:textId="77777777" w:rsidR="00F964E8" w:rsidRPr="00131AED" w:rsidRDefault="00F964E8" w:rsidP="00925300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DIENESTS</w:t>
            </w:r>
          </w:p>
          <w:p w14:paraId="578C3E64" w14:textId="77777777" w:rsidR="00F964E8" w:rsidRPr="00131AED" w:rsidRDefault="00F964E8" w:rsidP="00925300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69F4" w14:textId="77777777" w:rsidR="00F964E8" w:rsidRPr="00131AED" w:rsidRDefault="00F964E8" w:rsidP="00925300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</w:tr>
      <w:tr w:rsidR="00B65B54" w:rsidRPr="00B65B54" w14:paraId="62C7E29A" w14:textId="77777777" w:rsidTr="00131AED">
        <w:trPr>
          <w:trHeight w:val="1048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C584" w14:textId="77777777" w:rsidR="00B65B54" w:rsidRPr="00131AED" w:rsidRDefault="00B65B54" w:rsidP="00131AED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2BC545C0" w14:textId="77777777" w:rsidR="00B65B54" w:rsidRPr="00131AED" w:rsidRDefault="00B65B54" w:rsidP="00131AED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4A11A6B3" w14:textId="77777777" w:rsidR="00B65B54" w:rsidRPr="00131AED" w:rsidRDefault="00B65B54" w:rsidP="00131AED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  <w:r w:rsidRPr="00131AED">
              <w:rPr>
                <w:rFonts w:cs="Times New Roman"/>
                <w:lang w:val="lv-LV"/>
              </w:rPr>
              <w:t>____________________________</w:t>
            </w:r>
          </w:p>
          <w:p w14:paraId="2234F39A" w14:textId="77777777" w:rsidR="00B65B54" w:rsidRPr="00131AED" w:rsidRDefault="00B65B54" w:rsidP="00B65B54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ED">
              <w:rPr>
                <w:rFonts w:ascii="Times New Roman" w:hAnsi="Times New Roman" w:cs="Times New Roman"/>
                <w:sz w:val="24"/>
                <w:szCs w:val="24"/>
              </w:rPr>
              <w:t>R.Neimane</w:t>
            </w: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14DD" w14:textId="77777777" w:rsidR="00B65B54" w:rsidRPr="00131AED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07974BCA" w14:textId="77777777" w:rsidR="00B65B54" w:rsidRPr="00131AED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52432E44" w14:textId="77777777" w:rsidR="00B65B54" w:rsidRPr="00131AED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  <w:r w:rsidRPr="00131AED">
              <w:rPr>
                <w:rFonts w:cs="Times New Roman"/>
                <w:lang w:val="lv-LV"/>
              </w:rPr>
              <w:t>____________________________</w:t>
            </w:r>
          </w:p>
          <w:p w14:paraId="7652D525" w14:textId="77777777" w:rsidR="00B65B54" w:rsidRPr="00131AED" w:rsidRDefault="00B65B54" w:rsidP="00B65B54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ED">
              <w:rPr>
                <w:rFonts w:ascii="Times New Roman" w:hAnsi="Times New Roman" w:cs="Times New Roman"/>
                <w:sz w:val="24"/>
                <w:szCs w:val="24"/>
              </w:rPr>
              <w:t>I.Paeglītis</w:t>
            </w:r>
          </w:p>
        </w:tc>
      </w:tr>
      <w:tr w:rsidR="00B65B54" w:rsidRPr="00B65B54" w14:paraId="0AE7A250" w14:textId="77777777" w:rsidTr="00131AED">
        <w:trPr>
          <w:trHeight w:val="1048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1905" w14:textId="77777777" w:rsidR="00B65B54" w:rsidRPr="00131AED" w:rsidRDefault="00B65B54" w:rsidP="00B65B54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9DF3" w14:textId="77777777" w:rsidR="00B65B54" w:rsidRPr="00EB0EAF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7149318A" w14:textId="77777777" w:rsidR="00B65B54" w:rsidRPr="00CA63DE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1FFE792A" w14:textId="77777777" w:rsidR="00B65B54" w:rsidRPr="00D32C21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  <w:r w:rsidRPr="00D32C21">
              <w:rPr>
                <w:rFonts w:cs="Times New Roman"/>
                <w:lang w:val="lv-LV"/>
              </w:rPr>
              <w:t>____________________________</w:t>
            </w:r>
          </w:p>
          <w:p w14:paraId="007B07D2" w14:textId="77777777" w:rsidR="00B65B54" w:rsidRPr="00131AED" w:rsidRDefault="00B65B54" w:rsidP="00B65B54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ED">
              <w:rPr>
                <w:rFonts w:ascii="Times New Roman" w:hAnsi="Times New Roman" w:cs="Times New Roman"/>
                <w:sz w:val="24"/>
                <w:szCs w:val="24"/>
              </w:rPr>
              <w:t>K.Plūme</w:t>
            </w:r>
          </w:p>
        </w:tc>
      </w:tr>
      <w:tr w:rsidR="00B65B54" w:rsidRPr="00B65B54" w14:paraId="1EBD8277" w14:textId="77777777" w:rsidTr="00131AED">
        <w:trPr>
          <w:trHeight w:val="1048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922E" w14:textId="77777777" w:rsidR="00B65B54" w:rsidRPr="00131AED" w:rsidRDefault="00B65B54" w:rsidP="00B65B54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E01E" w14:textId="77777777" w:rsidR="00B65B54" w:rsidRPr="00131AED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6460A242" w14:textId="77777777" w:rsidR="00B65B54" w:rsidRPr="00131AED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</w:p>
          <w:p w14:paraId="6A3DA321" w14:textId="77777777" w:rsidR="00B65B54" w:rsidRPr="00131AED" w:rsidRDefault="00B65B54" w:rsidP="00B65B54">
            <w:pPr>
              <w:pStyle w:val="Body"/>
              <w:tabs>
                <w:tab w:val="left" w:pos="4962"/>
              </w:tabs>
              <w:jc w:val="both"/>
              <w:rPr>
                <w:rFonts w:cs="Times New Roman"/>
                <w:lang w:val="lv-LV"/>
              </w:rPr>
            </w:pPr>
            <w:r w:rsidRPr="00131AED">
              <w:rPr>
                <w:rFonts w:cs="Times New Roman"/>
                <w:lang w:val="lv-LV"/>
              </w:rPr>
              <w:t>____________________________</w:t>
            </w:r>
          </w:p>
          <w:p w14:paraId="59A80B11" w14:textId="77777777" w:rsidR="00B65B54" w:rsidRPr="00131AED" w:rsidRDefault="00B65B54" w:rsidP="00B65B54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051">
              <w:rPr>
                <w:rFonts w:ascii="Times New Roman" w:hAnsi="Times New Roman" w:cs="Times New Roman"/>
                <w:sz w:val="24"/>
                <w:szCs w:val="24"/>
              </w:rPr>
              <w:t>A.Višņakovs</w:t>
            </w:r>
          </w:p>
        </w:tc>
      </w:tr>
    </w:tbl>
    <w:p w14:paraId="6742C94C" w14:textId="77777777" w:rsidR="00B65B54" w:rsidRPr="00393897" w:rsidRDefault="00B65B54" w:rsidP="00B65B54">
      <w:pPr>
        <w:pStyle w:val="Body"/>
        <w:widowControl w:val="0"/>
        <w:jc w:val="center"/>
        <w:rPr>
          <w:rStyle w:val="None"/>
          <w:b/>
          <w:bCs/>
          <w:sz w:val="12"/>
          <w:szCs w:val="12"/>
          <w:lang w:val="lv-LV"/>
        </w:rPr>
      </w:pPr>
    </w:p>
    <w:p w14:paraId="0831600C" w14:textId="77777777" w:rsidR="00B65B54" w:rsidRPr="00393897" w:rsidRDefault="00B65B54" w:rsidP="00B65B54">
      <w:pPr>
        <w:pStyle w:val="Body"/>
        <w:tabs>
          <w:tab w:val="left" w:pos="5245"/>
        </w:tabs>
        <w:ind w:left="567"/>
        <w:jc w:val="both"/>
        <w:rPr>
          <w:lang w:val="lv-LV"/>
        </w:rPr>
      </w:pPr>
      <w:r w:rsidRPr="00393897">
        <w:rPr>
          <w:rStyle w:val="None"/>
          <w:b/>
          <w:bCs/>
          <w:lang w:val="lv-LV"/>
        </w:rPr>
        <w:tab/>
      </w:r>
    </w:p>
    <w:p w14:paraId="693E745D" w14:textId="77777777" w:rsidR="00B65B54" w:rsidRPr="00393897" w:rsidRDefault="00B65B54" w:rsidP="00B65B54">
      <w:pPr>
        <w:pStyle w:val="Body"/>
        <w:tabs>
          <w:tab w:val="left" w:pos="4962"/>
        </w:tabs>
        <w:ind w:left="284"/>
        <w:jc w:val="both"/>
        <w:rPr>
          <w:lang w:val="lv-LV"/>
        </w:rPr>
      </w:pPr>
      <w:r w:rsidRPr="00393897">
        <w:rPr>
          <w:lang w:val="lv-LV"/>
        </w:rPr>
        <w:tab/>
      </w:r>
    </w:p>
    <w:p w14:paraId="1C0302FB" w14:textId="77777777" w:rsidR="00B65B54" w:rsidRPr="00393897" w:rsidRDefault="00B65B54" w:rsidP="00B65B54">
      <w:pPr>
        <w:pStyle w:val="Body"/>
        <w:tabs>
          <w:tab w:val="left" w:pos="4962"/>
        </w:tabs>
        <w:ind w:left="284"/>
        <w:jc w:val="both"/>
        <w:rPr>
          <w:lang w:val="lv-LV"/>
        </w:rPr>
      </w:pPr>
    </w:p>
    <w:p w14:paraId="3A961FF1" w14:textId="77777777" w:rsidR="00F964E8" w:rsidRPr="00F964E8" w:rsidRDefault="00F964E8" w:rsidP="00131AED">
      <w:pPr>
        <w:pStyle w:val="Body"/>
        <w:tabs>
          <w:tab w:val="left" w:pos="4962"/>
        </w:tabs>
        <w:ind w:left="284"/>
        <w:jc w:val="both"/>
        <w:rPr>
          <w:rFonts w:cs="Times New Roman"/>
        </w:rPr>
      </w:pPr>
    </w:p>
    <w:sectPr w:rsidR="00F964E8" w:rsidRPr="00F964E8" w:rsidSect="00F964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56C4B" w14:textId="77777777" w:rsidR="00FE42A3" w:rsidRDefault="00FE42A3" w:rsidP="00CA5301">
      <w:pPr>
        <w:spacing w:after="0" w:line="240" w:lineRule="auto"/>
      </w:pPr>
      <w:r>
        <w:separator/>
      </w:r>
    </w:p>
  </w:endnote>
  <w:endnote w:type="continuationSeparator" w:id="0">
    <w:p w14:paraId="72E91E36" w14:textId="77777777" w:rsidR="00FE42A3" w:rsidRDefault="00FE42A3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12DE" w14:textId="77777777" w:rsidR="00FE42A3" w:rsidRDefault="00FE42A3" w:rsidP="00CA5301">
      <w:pPr>
        <w:spacing w:after="0" w:line="240" w:lineRule="auto"/>
      </w:pPr>
      <w:r>
        <w:separator/>
      </w:r>
    </w:p>
  </w:footnote>
  <w:footnote w:type="continuationSeparator" w:id="0">
    <w:p w14:paraId="65D7FDA2" w14:textId="77777777" w:rsidR="00FE42A3" w:rsidRDefault="00FE42A3" w:rsidP="00CA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F92"/>
    <w:multiLevelType w:val="hybridMultilevel"/>
    <w:tmpl w:val="300489A6"/>
    <w:lvl w:ilvl="0" w:tplc="26BEC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3B"/>
    <w:multiLevelType w:val="hybridMultilevel"/>
    <w:tmpl w:val="17B6E942"/>
    <w:lvl w:ilvl="0" w:tplc="0F0A45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274C2"/>
    <w:multiLevelType w:val="multilevel"/>
    <w:tmpl w:val="2306E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54421"/>
    <w:multiLevelType w:val="multilevel"/>
    <w:tmpl w:val="5C88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DED5CFB"/>
    <w:multiLevelType w:val="multilevel"/>
    <w:tmpl w:val="DEDE6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7560D0"/>
    <w:multiLevelType w:val="multilevel"/>
    <w:tmpl w:val="5702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26D226F"/>
    <w:multiLevelType w:val="multilevel"/>
    <w:tmpl w:val="7BFA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63E0DB2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F463FA"/>
    <w:multiLevelType w:val="multilevel"/>
    <w:tmpl w:val="18B2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393750F"/>
    <w:multiLevelType w:val="multilevel"/>
    <w:tmpl w:val="6E9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F72454"/>
    <w:multiLevelType w:val="hybridMultilevel"/>
    <w:tmpl w:val="CE6E0C4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36694B"/>
    <w:multiLevelType w:val="multilevel"/>
    <w:tmpl w:val="A4AC0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967558F"/>
    <w:multiLevelType w:val="multilevel"/>
    <w:tmpl w:val="12F214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430302A3"/>
    <w:multiLevelType w:val="multilevel"/>
    <w:tmpl w:val="98B62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0E6EDA"/>
    <w:multiLevelType w:val="multilevel"/>
    <w:tmpl w:val="87D0A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52497A1A"/>
    <w:multiLevelType w:val="multilevel"/>
    <w:tmpl w:val="E94A5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3A07B6A"/>
    <w:multiLevelType w:val="multilevel"/>
    <w:tmpl w:val="4C583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9432B08"/>
    <w:multiLevelType w:val="multilevel"/>
    <w:tmpl w:val="B42A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3975A4"/>
    <w:multiLevelType w:val="multilevel"/>
    <w:tmpl w:val="14AC8E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658E2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 w15:restartNumberingAfterBreak="0">
    <w:nsid w:val="70302207"/>
    <w:multiLevelType w:val="multilevel"/>
    <w:tmpl w:val="7A04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1383C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010BFB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6E343A4"/>
    <w:multiLevelType w:val="multilevel"/>
    <w:tmpl w:val="572C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0"/>
  </w:num>
  <w:num w:numId="8">
    <w:abstractNumId w:val="22"/>
  </w:num>
  <w:num w:numId="9">
    <w:abstractNumId w:val="25"/>
  </w:num>
  <w:num w:numId="10">
    <w:abstractNumId w:val="26"/>
  </w:num>
  <w:num w:numId="11">
    <w:abstractNumId w:val="5"/>
  </w:num>
  <w:num w:numId="12">
    <w:abstractNumId w:val="21"/>
  </w:num>
  <w:num w:numId="13">
    <w:abstractNumId w:val="15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6"/>
  </w:num>
  <w:num w:numId="19">
    <w:abstractNumId w:val="11"/>
  </w:num>
  <w:num w:numId="20">
    <w:abstractNumId w:val="7"/>
  </w:num>
  <w:num w:numId="21">
    <w:abstractNumId w:val="13"/>
  </w:num>
  <w:num w:numId="22">
    <w:abstractNumId w:val="23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F"/>
    <w:rsid w:val="000004AA"/>
    <w:rsid w:val="0000518F"/>
    <w:rsid w:val="000120EB"/>
    <w:rsid w:val="00013536"/>
    <w:rsid w:val="000208E3"/>
    <w:rsid w:val="00023280"/>
    <w:rsid w:val="00026FD4"/>
    <w:rsid w:val="00031F9E"/>
    <w:rsid w:val="00040F2A"/>
    <w:rsid w:val="00050261"/>
    <w:rsid w:val="00051238"/>
    <w:rsid w:val="00051F0B"/>
    <w:rsid w:val="000538B1"/>
    <w:rsid w:val="0005513A"/>
    <w:rsid w:val="000612B2"/>
    <w:rsid w:val="00067FB2"/>
    <w:rsid w:val="00074D59"/>
    <w:rsid w:val="0008096F"/>
    <w:rsid w:val="00094EF8"/>
    <w:rsid w:val="000C6430"/>
    <w:rsid w:val="000C6C69"/>
    <w:rsid w:val="000D07B2"/>
    <w:rsid w:val="000D296E"/>
    <w:rsid w:val="000E1B4D"/>
    <w:rsid w:val="000E35D1"/>
    <w:rsid w:val="000F101D"/>
    <w:rsid w:val="000F15A1"/>
    <w:rsid w:val="000F2E2F"/>
    <w:rsid w:val="00102746"/>
    <w:rsid w:val="00110140"/>
    <w:rsid w:val="001124A3"/>
    <w:rsid w:val="00117D1B"/>
    <w:rsid w:val="0012547F"/>
    <w:rsid w:val="00131AED"/>
    <w:rsid w:val="0013213F"/>
    <w:rsid w:val="00132956"/>
    <w:rsid w:val="00137B5B"/>
    <w:rsid w:val="001430BA"/>
    <w:rsid w:val="001457B9"/>
    <w:rsid w:val="00147A7D"/>
    <w:rsid w:val="001506D2"/>
    <w:rsid w:val="0015200B"/>
    <w:rsid w:val="00156E30"/>
    <w:rsid w:val="001575CE"/>
    <w:rsid w:val="0016210C"/>
    <w:rsid w:val="001676B5"/>
    <w:rsid w:val="0017622E"/>
    <w:rsid w:val="0018131C"/>
    <w:rsid w:val="0019139F"/>
    <w:rsid w:val="00193A7D"/>
    <w:rsid w:val="00193C04"/>
    <w:rsid w:val="001A004C"/>
    <w:rsid w:val="001A1270"/>
    <w:rsid w:val="001B73A8"/>
    <w:rsid w:val="001D1ECF"/>
    <w:rsid w:val="001D7A48"/>
    <w:rsid w:val="001E2B10"/>
    <w:rsid w:val="001E5946"/>
    <w:rsid w:val="001E5F61"/>
    <w:rsid w:val="001F0110"/>
    <w:rsid w:val="0020112A"/>
    <w:rsid w:val="0020368E"/>
    <w:rsid w:val="002122C1"/>
    <w:rsid w:val="00213F57"/>
    <w:rsid w:val="002214B2"/>
    <w:rsid w:val="00223E4E"/>
    <w:rsid w:val="00224C60"/>
    <w:rsid w:val="00224EAA"/>
    <w:rsid w:val="002252FD"/>
    <w:rsid w:val="00225753"/>
    <w:rsid w:val="00230C08"/>
    <w:rsid w:val="002318A0"/>
    <w:rsid w:val="002418B2"/>
    <w:rsid w:val="00241E37"/>
    <w:rsid w:val="00243B47"/>
    <w:rsid w:val="002507CE"/>
    <w:rsid w:val="002577D2"/>
    <w:rsid w:val="0026356A"/>
    <w:rsid w:val="00267D55"/>
    <w:rsid w:val="00285E0E"/>
    <w:rsid w:val="002874C8"/>
    <w:rsid w:val="002946A2"/>
    <w:rsid w:val="002A3676"/>
    <w:rsid w:val="002A6EB0"/>
    <w:rsid w:val="002B0405"/>
    <w:rsid w:val="002B3A77"/>
    <w:rsid w:val="002B41E4"/>
    <w:rsid w:val="002B6D9A"/>
    <w:rsid w:val="002C6213"/>
    <w:rsid w:val="002C6E8C"/>
    <w:rsid w:val="002D27B1"/>
    <w:rsid w:val="002D76F7"/>
    <w:rsid w:val="002E647B"/>
    <w:rsid w:val="002E6B67"/>
    <w:rsid w:val="002F3910"/>
    <w:rsid w:val="002F484B"/>
    <w:rsid w:val="002F7669"/>
    <w:rsid w:val="003110F2"/>
    <w:rsid w:val="00315077"/>
    <w:rsid w:val="00317D90"/>
    <w:rsid w:val="00323A86"/>
    <w:rsid w:val="003262AD"/>
    <w:rsid w:val="00330D7F"/>
    <w:rsid w:val="00340823"/>
    <w:rsid w:val="00361CCC"/>
    <w:rsid w:val="003729BC"/>
    <w:rsid w:val="00374B9A"/>
    <w:rsid w:val="0037523E"/>
    <w:rsid w:val="0038112E"/>
    <w:rsid w:val="00384AB8"/>
    <w:rsid w:val="00392B07"/>
    <w:rsid w:val="003A3D58"/>
    <w:rsid w:val="003B13D0"/>
    <w:rsid w:val="003C0E76"/>
    <w:rsid w:val="003C1C06"/>
    <w:rsid w:val="003C23D3"/>
    <w:rsid w:val="003C78EE"/>
    <w:rsid w:val="003E396D"/>
    <w:rsid w:val="003E3F9A"/>
    <w:rsid w:val="003E52A3"/>
    <w:rsid w:val="003E58BA"/>
    <w:rsid w:val="003F1AA5"/>
    <w:rsid w:val="003F6E02"/>
    <w:rsid w:val="00407118"/>
    <w:rsid w:val="0041379F"/>
    <w:rsid w:val="00414FD4"/>
    <w:rsid w:val="0041625A"/>
    <w:rsid w:val="00420849"/>
    <w:rsid w:val="0042161F"/>
    <w:rsid w:val="00422168"/>
    <w:rsid w:val="00422220"/>
    <w:rsid w:val="00442756"/>
    <w:rsid w:val="00454913"/>
    <w:rsid w:val="004639A3"/>
    <w:rsid w:val="004651D8"/>
    <w:rsid w:val="00465967"/>
    <w:rsid w:val="004666B2"/>
    <w:rsid w:val="00475034"/>
    <w:rsid w:val="004836B9"/>
    <w:rsid w:val="00494CEF"/>
    <w:rsid w:val="004A0ADA"/>
    <w:rsid w:val="004A4F13"/>
    <w:rsid w:val="004A545E"/>
    <w:rsid w:val="004B4EE1"/>
    <w:rsid w:val="004D77C0"/>
    <w:rsid w:val="004E5033"/>
    <w:rsid w:val="004E5CC8"/>
    <w:rsid w:val="004F3B14"/>
    <w:rsid w:val="004F5BEA"/>
    <w:rsid w:val="005003CB"/>
    <w:rsid w:val="00520B5E"/>
    <w:rsid w:val="00522A73"/>
    <w:rsid w:val="00523A29"/>
    <w:rsid w:val="005256C8"/>
    <w:rsid w:val="00532177"/>
    <w:rsid w:val="00537315"/>
    <w:rsid w:val="005409CE"/>
    <w:rsid w:val="00542515"/>
    <w:rsid w:val="00550B7B"/>
    <w:rsid w:val="005518D1"/>
    <w:rsid w:val="00552D2B"/>
    <w:rsid w:val="005542B0"/>
    <w:rsid w:val="00554AEC"/>
    <w:rsid w:val="00554BF2"/>
    <w:rsid w:val="00562935"/>
    <w:rsid w:val="00565A03"/>
    <w:rsid w:val="0056671F"/>
    <w:rsid w:val="0056761A"/>
    <w:rsid w:val="00570523"/>
    <w:rsid w:val="00571F35"/>
    <w:rsid w:val="005724FC"/>
    <w:rsid w:val="00580439"/>
    <w:rsid w:val="005901DD"/>
    <w:rsid w:val="005948AC"/>
    <w:rsid w:val="005978B4"/>
    <w:rsid w:val="00597A9E"/>
    <w:rsid w:val="005A0358"/>
    <w:rsid w:val="005A06C4"/>
    <w:rsid w:val="005A20C7"/>
    <w:rsid w:val="005B2072"/>
    <w:rsid w:val="005B2245"/>
    <w:rsid w:val="005B6BF2"/>
    <w:rsid w:val="005C3327"/>
    <w:rsid w:val="005C38EE"/>
    <w:rsid w:val="005C3EDD"/>
    <w:rsid w:val="005C4DD6"/>
    <w:rsid w:val="005C6D92"/>
    <w:rsid w:val="005E0482"/>
    <w:rsid w:val="005E34A9"/>
    <w:rsid w:val="005F01AD"/>
    <w:rsid w:val="005F104F"/>
    <w:rsid w:val="005F1BB2"/>
    <w:rsid w:val="005F3FDF"/>
    <w:rsid w:val="006048B8"/>
    <w:rsid w:val="006064C5"/>
    <w:rsid w:val="00613D83"/>
    <w:rsid w:val="006162D0"/>
    <w:rsid w:val="00620330"/>
    <w:rsid w:val="00620E53"/>
    <w:rsid w:val="006331E4"/>
    <w:rsid w:val="00634FE9"/>
    <w:rsid w:val="00641138"/>
    <w:rsid w:val="00641EE1"/>
    <w:rsid w:val="00642EF6"/>
    <w:rsid w:val="0064496D"/>
    <w:rsid w:val="00645595"/>
    <w:rsid w:val="0066042F"/>
    <w:rsid w:val="00660FA3"/>
    <w:rsid w:val="00663D92"/>
    <w:rsid w:val="00670901"/>
    <w:rsid w:val="00686D2F"/>
    <w:rsid w:val="00692633"/>
    <w:rsid w:val="00697F0B"/>
    <w:rsid w:val="006A5790"/>
    <w:rsid w:val="006A79BB"/>
    <w:rsid w:val="006B29E9"/>
    <w:rsid w:val="006B5D2D"/>
    <w:rsid w:val="006B63FD"/>
    <w:rsid w:val="006C10E2"/>
    <w:rsid w:val="006C2E3A"/>
    <w:rsid w:val="006D55D7"/>
    <w:rsid w:val="006E18EA"/>
    <w:rsid w:val="006E3EA2"/>
    <w:rsid w:val="006E4DD1"/>
    <w:rsid w:val="006F0BB4"/>
    <w:rsid w:val="006F2DC7"/>
    <w:rsid w:val="006F5AA3"/>
    <w:rsid w:val="006F6DCA"/>
    <w:rsid w:val="0070325F"/>
    <w:rsid w:val="00716B2D"/>
    <w:rsid w:val="00731D9B"/>
    <w:rsid w:val="007452D6"/>
    <w:rsid w:val="00746624"/>
    <w:rsid w:val="00750CF1"/>
    <w:rsid w:val="00755F72"/>
    <w:rsid w:val="007606B0"/>
    <w:rsid w:val="0076137D"/>
    <w:rsid w:val="0076402A"/>
    <w:rsid w:val="007673D7"/>
    <w:rsid w:val="00771EA9"/>
    <w:rsid w:val="00774BF6"/>
    <w:rsid w:val="007779BA"/>
    <w:rsid w:val="00784339"/>
    <w:rsid w:val="007863A3"/>
    <w:rsid w:val="007948BC"/>
    <w:rsid w:val="007A4F80"/>
    <w:rsid w:val="007A6137"/>
    <w:rsid w:val="007A79E1"/>
    <w:rsid w:val="007B2710"/>
    <w:rsid w:val="007B4C4F"/>
    <w:rsid w:val="007B7133"/>
    <w:rsid w:val="007C22B1"/>
    <w:rsid w:val="007C24FC"/>
    <w:rsid w:val="007C6398"/>
    <w:rsid w:val="007C70ED"/>
    <w:rsid w:val="007D4AFB"/>
    <w:rsid w:val="007D72EA"/>
    <w:rsid w:val="007E2CF9"/>
    <w:rsid w:val="007E5099"/>
    <w:rsid w:val="007E5232"/>
    <w:rsid w:val="007E702D"/>
    <w:rsid w:val="008024A7"/>
    <w:rsid w:val="00803849"/>
    <w:rsid w:val="00812DAD"/>
    <w:rsid w:val="008167B8"/>
    <w:rsid w:val="0082188D"/>
    <w:rsid w:val="00822F81"/>
    <w:rsid w:val="00825CD5"/>
    <w:rsid w:val="0083483C"/>
    <w:rsid w:val="00835D5A"/>
    <w:rsid w:val="008379EF"/>
    <w:rsid w:val="00840441"/>
    <w:rsid w:val="00863192"/>
    <w:rsid w:val="00875BF0"/>
    <w:rsid w:val="00882486"/>
    <w:rsid w:val="00885AE6"/>
    <w:rsid w:val="008B02E8"/>
    <w:rsid w:val="008B4BCB"/>
    <w:rsid w:val="008B7C60"/>
    <w:rsid w:val="008C0F2E"/>
    <w:rsid w:val="008D186E"/>
    <w:rsid w:val="008D392F"/>
    <w:rsid w:val="008E3205"/>
    <w:rsid w:val="008F2366"/>
    <w:rsid w:val="008F432E"/>
    <w:rsid w:val="008F4D1B"/>
    <w:rsid w:val="008F6C91"/>
    <w:rsid w:val="00901849"/>
    <w:rsid w:val="009018D9"/>
    <w:rsid w:val="0090476C"/>
    <w:rsid w:val="00912DAA"/>
    <w:rsid w:val="00914D20"/>
    <w:rsid w:val="0091770A"/>
    <w:rsid w:val="00932787"/>
    <w:rsid w:val="0093411C"/>
    <w:rsid w:val="009376F3"/>
    <w:rsid w:val="00937DC3"/>
    <w:rsid w:val="00937E8E"/>
    <w:rsid w:val="00943809"/>
    <w:rsid w:val="00951D41"/>
    <w:rsid w:val="00953999"/>
    <w:rsid w:val="00973C76"/>
    <w:rsid w:val="00982D46"/>
    <w:rsid w:val="00983988"/>
    <w:rsid w:val="00993AC7"/>
    <w:rsid w:val="00997690"/>
    <w:rsid w:val="009A1134"/>
    <w:rsid w:val="009B1FCE"/>
    <w:rsid w:val="009B3B0D"/>
    <w:rsid w:val="009C3E79"/>
    <w:rsid w:val="009D0CFE"/>
    <w:rsid w:val="009D2738"/>
    <w:rsid w:val="009E06ED"/>
    <w:rsid w:val="009E1A73"/>
    <w:rsid w:val="009E745A"/>
    <w:rsid w:val="009F3B6F"/>
    <w:rsid w:val="009F5AED"/>
    <w:rsid w:val="009F6EF8"/>
    <w:rsid w:val="009F703F"/>
    <w:rsid w:val="00A030CD"/>
    <w:rsid w:val="00A0609A"/>
    <w:rsid w:val="00A12582"/>
    <w:rsid w:val="00A13A88"/>
    <w:rsid w:val="00A1457A"/>
    <w:rsid w:val="00A151B9"/>
    <w:rsid w:val="00A163E8"/>
    <w:rsid w:val="00A16AB3"/>
    <w:rsid w:val="00A26347"/>
    <w:rsid w:val="00A31ACF"/>
    <w:rsid w:val="00A33CE3"/>
    <w:rsid w:val="00A377E8"/>
    <w:rsid w:val="00A443B3"/>
    <w:rsid w:val="00A44D16"/>
    <w:rsid w:val="00A47BDF"/>
    <w:rsid w:val="00A5384B"/>
    <w:rsid w:val="00A54FF5"/>
    <w:rsid w:val="00A55578"/>
    <w:rsid w:val="00A60D27"/>
    <w:rsid w:val="00A615F4"/>
    <w:rsid w:val="00A64933"/>
    <w:rsid w:val="00A7284E"/>
    <w:rsid w:val="00A72F92"/>
    <w:rsid w:val="00AB583A"/>
    <w:rsid w:val="00AC024C"/>
    <w:rsid w:val="00AC4DB5"/>
    <w:rsid w:val="00AC57E8"/>
    <w:rsid w:val="00AC5DAC"/>
    <w:rsid w:val="00AC6CC8"/>
    <w:rsid w:val="00AC6CEA"/>
    <w:rsid w:val="00AD3F40"/>
    <w:rsid w:val="00AE018E"/>
    <w:rsid w:val="00AE5B26"/>
    <w:rsid w:val="00AE6F78"/>
    <w:rsid w:val="00AF1BD6"/>
    <w:rsid w:val="00AF3705"/>
    <w:rsid w:val="00AF5D54"/>
    <w:rsid w:val="00B121A3"/>
    <w:rsid w:val="00B148A0"/>
    <w:rsid w:val="00B22E96"/>
    <w:rsid w:val="00B539B2"/>
    <w:rsid w:val="00B65B54"/>
    <w:rsid w:val="00B65DF3"/>
    <w:rsid w:val="00B66177"/>
    <w:rsid w:val="00B8506D"/>
    <w:rsid w:val="00B85E1D"/>
    <w:rsid w:val="00B86724"/>
    <w:rsid w:val="00B948DB"/>
    <w:rsid w:val="00BA008C"/>
    <w:rsid w:val="00BA17D8"/>
    <w:rsid w:val="00BA2019"/>
    <w:rsid w:val="00BB5A5F"/>
    <w:rsid w:val="00BC0CFF"/>
    <w:rsid w:val="00BD496A"/>
    <w:rsid w:val="00BE2EAE"/>
    <w:rsid w:val="00BE456C"/>
    <w:rsid w:val="00BE65E5"/>
    <w:rsid w:val="00BF0C83"/>
    <w:rsid w:val="00C01614"/>
    <w:rsid w:val="00C02204"/>
    <w:rsid w:val="00C15566"/>
    <w:rsid w:val="00C24761"/>
    <w:rsid w:val="00C27D8E"/>
    <w:rsid w:val="00C306CE"/>
    <w:rsid w:val="00C306FD"/>
    <w:rsid w:val="00C334AA"/>
    <w:rsid w:val="00C33B16"/>
    <w:rsid w:val="00C341DE"/>
    <w:rsid w:val="00C410C2"/>
    <w:rsid w:val="00C4200E"/>
    <w:rsid w:val="00C475B9"/>
    <w:rsid w:val="00C518A7"/>
    <w:rsid w:val="00C5318F"/>
    <w:rsid w:val="00C54223"/>
    <w:rsid w:val="00C77E43"/>
    <w:rsid w:val="00C77F66"/>
    <w:rsid w:val="00C90A40"/>
    <w:rsid w:val="00CA5301"/>
    <w:rsid w:val="00CA63DE"/>
    <w:rsid w:val="00CB6A75"/>
    <w:rsid w:val="00CB75D6"/>
    <w:rsid w:val="00CB7865"/>
    <w:rsid w:val="00CC36F3"/>
    <w:rsid w:val="00CD124D"/>
    <w:rsid w:val="00CE1368"/>
    <w:rsid w:val="00CF7D31"/>
    <w:rsid w:val="00D079A9"/>
    <w:rsid w:val="00D32C21"/>
    <w:rsid w:val="00D34E49"/>
    <w:rsid w:val="00D41EE8"/>
    <w:rsid w:val="00D42739"/>
    <w:rsid w:val="00D43FDC"/>
    <w:rsid w:val="00D45406"/>
    <w:rsid w:val="00D45FBA"/>
    <w:rsid w:val="00D55FE0"/>
    <w:rsid w:val="00D6203B"/>
    <w:rsid w:val="00D6331B"/>
    <w:rsid w:val="00D64C87"/>
    <w:rsid w:val="00D745FF"/>
    <w:rsid w:val="00D8247C"/>
    <w:rsid w:val="00D84A2C"/>
    <w:rsid w:val="00D934D9"/>
    <w:rsid w:val="00D93690"/>
    <w:rsid w:val="00D9520C"/>
    <w:rsid w:val="00D95FCC"/>
    <w:rsid w:val="00DA669B"/>
    <w:rsid w:val="00DA6B52"/>
    <w:rsid w:val="00DB0458"/>
    <w:rsid w:val="00DB07D6"/>
    <w:rsid w:val="00DB68E6"/>
    <w:rsid w:val="00DB7DEE"/>
    <w:rsid w:val="00DD525D"/>
    <w:rsid w:val="00DE04DE"/>
    <w:rsid w:val="00DE0B34"/>
    <w:rsid w:val="00DE17A8"/>
    <w:rsid w:val="00DE3AEA"/>
    <w:rsid w:val="00DE6D5A"/>
    <w:rsid w:val="00DF56B0"/>
    <w:rsid w:val="00E00A91"/>
    <w:rsid w:val="00E05520"/>
    <w:rsid w:val="00E065EE"/>
    <w:rsid w:val="00E14FA4"/>
    <w:rsid w:val="00E20ADA"/>
    <w:rsid w:val="00E24026"/>
    <w:rsid w:val="00E32501"/>
    <w:rsid w:val="00E418C6"/>
    <w:rsid w:val="00E455F6"/>
    <w:rsid w:val="00E604B6"/>
    <w:rsid w:val="00E612C4"/>
    <w:rsid w:val="00E61472"/>
    <w:rsid w:val="00E67EA5"/>
    <w:rsid w:val="00E72A1B"/>
    <w:rsid w:val="00E742E2"/>
    <w:rsid w:val="00E74451"/>
    <w:rsid w:val="00E75DAD"/>
    <w:rsid w:val="00E8142F"/>
    <w:rsid w:val="00E82748"/>
    <w:rsid w:val="00E85419"/>
    <w:rsid w:val="00E91051"/>
    <w:rsid w:val="00E9684D"/>
    <w:rsid w:val="00EA143A"/>
    <w:rsid w:val="00EA36A7"/>
    <w:rsid w:val="00EB0883"/>
    <w:rsid w:val="00EB0EAF"/>
    <w:rsid w:val="00EB4EEC"/>
    <w:rsid w:val="00EB6547"/>
    <w:rsid w:val="00EB7C5D"/>
    <w:rsid w:val="00EC599F"/>
    <w:rsid w:val="00ED31C6"/>
    <w:rsid w:val="00EF6CF2"/>
    <w:rsid w:val="00EF70B8"/>
    <w:rsid w:val="00F202B4"/>
    <w:rsid w:val="00F238BE"/>
    <w:rsid w:val="00F23F9E"/>
    <w:rsid w:val="00F300D4"/>
    <w:rsid w:val="00F32E21"/>
    <w:rsid w:val="00F5167B"/>
    <w:rsid w:val="00F5215B"/>
    <w:rsid w:val="00F6705A"/>
    <w:rsid w:val="00F70D33"/>
    <w:rsid w:val="00F76571"/>
    <w:rsid w:val="00F829D8"/>
    <w:rsid w:val="00F849AC"/>
    <w:rsid w:val="00F86DDD"/>
    <w:rsid w:val="00F929F3"/>
    <w:rsid w:val="00F93AA8"/>
    <w:rsid w:val="00F95A31"/>
    <w:rsid w:val="00F964E8"/>
    <w:rsid w:val="00FB1534"/>
    <w:rsid w:val="00FB29F3"/>
    <w:rsid w:val="00FB507E"/>
    <w:rsid w:val="00FB519B"/>
    <w:rsid w:val="00FD2CD1"/>
    <w:rsid w:val="00FE0741"/>
    <w:rsid w:val="00FE286F"/>
    <w:rsid w:val="00FE42A3"/>
    <w:rsid w:val="00FE71A8"/>
    <w:rsid w:val="00FF1909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99AE0"/>
  <w15:docId w15:val="{58301DAB-AF1B-4D8A-B0F6-0E1C621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B"/>
  </w:style>
  <w:style w:type="paragraph" w:styleId="Heading1">
    <w:name w:val="heading 1"/>
    <w:basedOn w:val="Normal"/>
    <w:next w:val="Normal"/>
    <w:link w:val="Heading1Char"/>
    <w:uiPriority w:val="9"/>
    <w:qFormat/>
    <w:rsid w:val="00B148A0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8A0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8A0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8A0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8A0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8A0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8A0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8A0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8A0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AA8"/>
    <w:rPr>
      <w:color w:val="0000FF"/>
      <w:u w:val="single"/>
    </w:rPr>
  </w:style>
  <w:style w:type="paragraph" w:styleId="NoSpacing">
    <w:name w:val="No Spacing"/>
    <w:uiPriority w:val="1"/>
    <w:qFormat/>
    <w:rsid w:val="00774B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8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8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8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8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16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65B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lv-LV"/>
    </w:rPr>
  </w:style>
  <w:style w:type="character" w:customStyle="1" w:styleId="None">
    <w:name w:val="None"/>
    <w:rsid w:val="00B6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.laboratorija@aslimnic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vd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507C-E3A9-4D05-A51C-19068837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4329</Words>
  <Characters>2468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Gaigala</dc:creator>
  <cp:lastModifiedBy>Inna Rožkalne</cp:lastModifiedBy>
  <cp:revision>12</cp:revision>
  <cp:lastPrinted>2020-04-30T09:56:00Z</cp:lastPrinted>
  <dcterms:created xsi:type="dcterms:W3CDTF">2020-04-30T09:06:00Z</dcterms:created>
  <dcterms:modified xsi:type="dcterms:W3CDTF">2020-04-30T12:20:00Z</dcterms:modified>
</cp:coreProperties>
</file>