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44326C9D" w:rsidR="002C35F4" w:rsidRDefault="00345D92" w:rsidP="002C35F4">
      <w:pPr>
        <w:spacing w:after="0" w:line="240" w:lineRule="auto"/>
        <w:rPr>
          <w:b/>
          <w:bCs/>
        </w:rPr>
      </w:pPr>
      <w:r>
        <w:rPr>
          <w:b/>
          <w:bCs/>
        </w:rPr>
        <w:t>2</w:t>
      </w:r>
      <w:r w:rsidR="00882028">
        <w:rPr>
          <w:b/>
          <w:bCs/>
        </w:rPr>
        <w:t>6</w:t>
      </w:r>
      <w:r w:rsidR="00330428">
        <w:rPr>
          <w:b/>
          <w:bCs/>
        </w:rPr>
        <w:t>.08</w:t>
      </w:r>
      <w:r w:rsidR="00052523">
        <w:rPr>
          <w:b/>
          <w:bCs/>
        </w:rPr>
        <w:t>.2022.</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51368946" w14:textId="61F5B160" w:rsidR="007345E5" w:rsidRDefault="00882028" w:rsidP="00CF744E">
      <w:pPr>
        <w:spacing w:after="0" w:line="240" w:lineRule="auto"/>
      </w:pPr>
      <w:r w:rsidRPr="00882028">
        <w:t>Par pienākumu nodrošināt veselības aprūpes pakalpojumu pieejamību</w:t>
      </w:r>
    </w:p>
    <w:p w14:paraId="29A290C2" w14:textId="77777777" w:rsidR="00882028" w:rsidRDefault="00882028" w:rsidP="00CF744E">
      <w:pPr>
        <w:spacing w:after="0" w:line="240" w:lineRule="auto"/>
        <w:rPr>
          <w:rFonts w:cstheme="minorHAnsi"/>
        </w:rPr>
      </w:pPr>
    </w:p>
    <w:p w14:paraId="4979EB97" w14:textId="5CE79CCF"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48B91F31" w14:textId="77777777" w:rsidR="00882028" w:rsidRPr="00882028" w:rsidRDefault="00882028" w:rsidP="00882028">
      <w:pPr>
        <w:spacing w:after="0" w:line="240" w:lineRule="auto"/>
        <w:ind w:firstLine="720"/>
        <w:jc w:val="both"/>
        <w:rPr>
          <w:rFonts w:cstheme="minorHAnsi"/>
          <w:noProof/>
          <w:sz w:val="24"/>
          <w:szCs w:val="24"/>
        </w:rPr>
      </w:pPr>
      <w:r w:rsidRPr="00882028">
        <w:rPr>
          <w:rFonts w:cstheme="minorHAnsi"/>
          <w:sz w:val="24"/>
          <w:szCs w:val="24"/>
        </w:rPr>
        <w:t>Nacionālais veselības dienests (turpmāk – Dienests) informē</w:t>
      </w:r>
      <w:r w:rsidRPr="00882028">
        <w:rPr>
          <w:rFonts w:cstheme="minorHAnsi"/>
          <w:noProof/>
          <w:sz w:val="24"/>
          <w:szCs w:val="24"/>
        </w:rPr>
        <w:t>, ka jau šajā sezonā un turpmāk Imunizācijas valsts padome stingri rekomendē Covid-19 vakcinācijas integrēšanu primārajā veselības aprūpē, izmantojot valsts imunizācijas programmu</w:t>
      </w:r>
      <w:r w:rsidRPr="00882028">
        <w:rPr>
          <w:rFonts w:cstheme="minorHAnsi"/>
          <w:noProof/>
          <w:sz w:val="24"/>
          <w:szCs w:val="24"/>
          <w:vertAlign w:val="superscript"/>
        </w:rPr>
        <w:footnoteReference w:id="1"/>
      </w:r>
      <w:r w:rsidRPr="00882028">
        <w:rPr>
          <w:rFonts w:cstheme="minorHAnsi"/>
          <w:noProof/>
          <w:sz w:val="24"/>
          <w:szCs w:val="24"/>
        </w:rPr>
        <w:t>.</w:t>
      </w:r>
    </w:p>
    <w:p w14:paraId="550C3F9F" w14:textId="77777777" w:rsidR="00882028" w:rsidRPr="00882028" w:rsidRDefault="00882028" w:rsidP="00882028">
      <w:pPr>
        <w:spacing w:after="0" w:line="240" w:lineRule="auto"/>
        <w:ind w:firstLine="720"/>
        <w:jc w:val="both"/>
        <w:rPr>
          <w:rFonts w:cstheme="minorHAnsi"/>
          <w:sz w:val="24"/>
          <w:szCs w:val="24"/>
        </w:rPr>
      </w:pPr>
      <w:r w:rsidRPr="00882028">
        <w:rPr>
          <w:rFonts w:cstheme="minorHAnsi"/>
          <w:noProof/>
          <w:sz w:val="24"/>
          <w:szCs w:val="24"/>
        </w:rPr>
        <w:t xml:space="preserve">Ņemot vērā iepriekš minēto un, lai nodrošinātu pacientiem Covid-19 vakcinācijas pieejamību, </w:t>
      </w:r>
      <w:r w:rsidRPr="00882028">
        <w:rPr>
          <w:rFonts w:cstheme="minorHAnsi"/>
          <w:sz w:val="24"/>
          <w:szCs w:val="24"/>
        </w:rPr>
        <w:t xml:space="preserve">Dienests aicinās iedzīvotājus vērsties ģimenes ārstu praksēs (turpmāk – Prakse), lai saņemtu vakcināciju pret Covid-19. </w:t>
      </w:r>
    </w:p>
    <w:p w14:paraId="3E8F7B30" w14:textId="77777777" w:rsidR="00882028" w:rsidRPr="00882028" w:rsidRDefault="00882028" w:rsidP="00882028">
      <w:pPr>
        <w:spacing w:after="0" w:line="240" w:lineRule="auto"/>
        <w:ind w:firstLine="720"/>
        <w:jc w:val="both"/>
        <w:rPr>
          <w:rFonts w:cstheme="minorHAnsi"/>
          <w:sz w:val="24"/>
          <w:szCs w:val="24"/>
          <w:shd w:val="clear" w:color="auto" w:fill="FFFFFF"/>
        </w:rPr>
      </w:pPr>
      <w:r w:rsidRPr="00882028">
        <w:rPr>
          <w:rFonts w:cstheme="minorHAnsi"/>
          <w:sz w:val="24"/>
          <w:szCs w:val="24"/>
          <w:shd w:val="clear" w:color="auto" w:fill="FFFFFF"/>
        </w:rPr>
        <w:t xml:space="preserve">Tāpat Prakse, sniedzot Covid-19 vakcinācijas pakalpojumus, nodrošina vakcinējamo personu plūsmas organizāciju, kā arī </w:t>
      </w:r>
      <w:r w:rsidRPr="00882028">
        <w:rPr>
          <w:rStyle w:val="normaltextrun"/>
          <w:rFonts w:cstheme="minorHAnsi"/>
          <w:sz w:val="24"/>
          <w:szCs w:val="24"/>
        </w:rPr>
        <w:t>personu vakcināciju atbilstoši Covid-19 vakcinācijas rokasgrāmatā</w:t>
      </w:r>
      <w:r w:rsidRPr="00882028">
        <w:rPr>
          <w:rStyle w:val="normaltextrun"/>
          <w:rFonts w:cstheme="minorHAnsi"/>
          <w:sz w:val="24"/>
          <w:szCs w:val="24"/>
          <w:vertAlign w:val="superscript"/>
        </w:rPr>
        <w:footnoteReference w:id="2"/>
      </w:r>
      <w:r w:rsidRPr="00882028">
        <w:rPr>
          <w:rStyle w:val="normaltextrun"/>
          <w:rFonts w:cstheme="minorHAnsi"/>
          <w:sz w:val="24"/>
          <w:szCs w:val="24"/>
        </w:rPr>
        <w:t xml:space="preserve"> noteiktajiem nosacījumiem.</w:t>
      </w:r>
      <w:r w:rsidRPr="00882028">
        <w:rPr>
          <w:rStyle w:val="FootnoteReference"/>
          <w:rFonts w:cstheme="minorHAnsi"/>
          <w:sz w:val="24"/>
          <w:szCs w:val="24"/>
          <w:shd w:val="clear" w:color="auto" w:fill="FFFFFF"/>
        </w:rPr>
        <w:footnoteReference w:id="3"/>
      </w:r>
      <w:r w:rsidRPr="00882028">
        <w:rPr>
          <w:rFonts w:cstheme="minorHAnsi"/>
          <w:sz w:val="24"/>
          <w:szCs w:val="24"/>
          <w:shd w:val="clear" w:color="auto" w:fill="FFFFFF"/>
        </w:rPr>
        <w:t xml:space="preserve"> </w:t>
      </w:r>
    </w:p>
    <w:p w14:paraId="3E38734A" w14:textId="77777777" w:rsidR="00882028" w:rsidRPr="00882028" w:rsidRDefault="00882028" w:rsidP="00882028">
      <w:pPr>
        <w:spacing w:after="0" w:line="240" w:lineRule="auto"/>
        <w:ind w:firstLine="720"/>
        <w:jc w:val="both"/>
        <w:rPr>
          <w:rFonts w:cstheme="minorHAnsi"/>
          <w:color w:val="414142"/>
          <w:sz w:val="24"/>
          <w:szCs w:val="24"/>
          <w:shd w:val="clear" w:color="auto" w:fill="FFFFFF"/>
        </w:rPr>
      </w:pPr>
      <w:r w:rsidRPr="00882028">
        <w:rPr>
          <w:rFonts w:cstheme="minorHAnsi"/>
          <w:sz w:val="24"/>
          <w:szCs w:val="24"/>
          <w:shd w:val="clear" w:color="auto" w:fill="FFFFFF"/>
        </w:rPr>
        <w:t>Uzdevumi vakcinācijas procesa nodrošināšanā Praksēm</w:t>
      </w:r>
      <w:r w:rsidRPr="00882028">
        <w:rPr>
          <w:rFonts w:cstheme="minorHAnsi"/>
          <w:color w:val="414142"/>
          <w:sz w:val="24"/>
          <w:szCs w:val="24"/>
          <w:shd w:val="clear" w:color="auto" w:fill="FFFFFF"/>
        </w:rPr>
        <w:t>:</w:t>
      </w:r>
    </w:p>
    <w:p w14:paraId="16ABC091" w14:textId="77777777" w:rsidR="00882028" w:rsidRPr="00882028" w:rsidRDefault="00882028" w:rsidP="00882028">
      <w:pPr>
        <w:pStyle w:val="NormalWeb"/>
        <w:numPr>
          <w:ilvl w:val="0"/>
          <w:numId w:val="26"/>
        </w:numPr>
        <w:spacing w:before="0" w:beforeAutospacing="0" w:after="0" w:afterAutospacing="0"/>
        <w:ind w:left="0"/>
        <w:rPr>
          <w:rFonts w:asciiTheme="minorHAnsi" w:hAnsiTheme="minorHAnsi" w:cstheme="minorHAnsi"/>
          <w:color w:val="000000"/>
          <w:kern w:val="24"/>
        </w:rPr>
      </w:pPr>
      <w:r w:rsidRPr="00882028">
        <w:rPr>
          <w:rFonts w:asciiTheme="minorHAnsi" w:hAnsiTheme="minorHAnsi" w:cstheme="minorHAnsi"/>
          <w:color w:val="000000"/>
          <w:kern w:val="24"/>
        </w:rPr>
        <w:t>Aktīvi aicina pacientus vakcinēties;</w:t>
      </w:r>
    </w:p>
    <w:p w14:paraId="5607369E" w14:textId="77777777" w:rsidR="00882028" w:rsidRPr="00882028" w:rsidRDefault="00882028" w:rsidP="00882028">
      <w:pPr>
        <w:pStyle w:val="NormalWeb"/>
        <w:numPr>
          <w:ilvl w:val="0"/>
          <w:numId w:val="26"/>
        </w:numPr>
        <w:spacing w:before="0" w:beforeAutospacing="0" w:after="0" w:afterAutospacing="0"/>
        <w:ind w:left="0"/>
        <w:rPr>
          <w:rFonts w:asciiTheme="minorHAnsi" w:hAnsiTheme="minorHAnsi" w:cstheme="minorHAnsi"/>
        </w:rPr>
      </w:pPr>
      <w:r w:rsidRPr="00882028">
        <w:rPr>
          <w:rFonts w:asciiTheme="minorHAnsi" w:hAnsiTheme="minorHAnsi" w:cstheme="minorHAnsi"/>
          <w:color w:val="000000"/>
          <w:kern w:val="24"/>
        </w:rPr>
        <w:t>Strādā ar e-veselības pacienta riska reģistru un seko prakses pacientu vakcinācijas gaitai;</w:t>
      </w:r>
    </w:p>
    <w:p w14:paraId="6DC73139" w14:textId="77777777" w:rsidR="00882028" w:rsidRPr="00882028" w:rsidRDefault="00882028" w:rsidP="00882028">
      <w:pPr>
        <w:pStyle w:val="NormalWeb"/>
        <w:numPr>
          <w:ilvl w:val="0"/>
          <w:numId w:val="26"/>
        </w:numPr>
        <w:spacing w:before="0" w:beforeAutospacing="0" w:after="0" w:afterAutospacing="0"/>
        <w:ind w:left="0"/>
        <w:rPr>
          <w:rFonts w:asciiTheme="minorHAnsi" w:hAnsiTheme="minorHAnsi" w:cstheme="minorHAnsi"/>
        </w:rPr>
      </w:pPr>
      <w:r w:rsidRPr="00882028">
        <w:rPr>
          <w:rFonts w:asciiTheme="minorHAnsi" w:hAnsiTheme="minorHAnsi" w:cstheme="minorHAnsi"/>
          <w:color w:val="000000"/>
          <w:kern w:val="24"/>
        </w:rPr>
        <w:t>Pieņem pacientu zvanus par vakcinācijas pierakstu un konsultē par vakcināciju;</w:t>
      </w:r>
    </w:p>
    <w:p w14:paraId="0DB85225" w14:textId="77777777" w:rsidR="00882028" w:rsidRPr="00882028" w:rsidRDefault="00882028" w:rsidP="00882028">
      <w:pPr>
        <w:pStyle w:val="NormalWeb"/>
        <w:numPr>
          <w:ilvl w:val="0"/>
          <w:numId w:val="26"/>
        </w:numPr>
        <w:spacing w:before="0" w:beforeAutospacing="0" w:after="0" w:afterAutospacing="0"/>
        <w:ind w:left="0"/>
        <w:rPr>
          <w:rFonts w:asciiTheme="minorHAnsi" w:hAnsiTheme="minorHAnsi" w:cstheme="minorHAnsi"/>
        </w:rPr>
      </w:pPr>
      <w:r w:rsidRPr="00882028">
        <w:rPr>
          <w:rFonts w:asciiTheme="minorHAnsi" w:hAnsiTheme="minorHAnsi" w:cstheme="minorHAnsi"/>
          <w:color w:val="000000"/>
          <w:kern w:val="24"/>
        </w:rPr>
        <w:t>Reģistrē pacientus vakcinācijai;</w:t>
      </w:r>
    </w:p>
    <w:p w14:paraId="7334016C" w14:textId="77777777" w:rsidR="00882028" w:rsidRPr="00882028" w:rsidRDefault="00882028" w:rsidP="00882028">
      <w:pPr>
        <w:pStyle w:val="NormalWeb"/>
        <w:numPr>
          <w:ilvl w:val="0"/>
          <w:numId w:val="26"/>
        </w:numPr>
        <w:spacing w:before="0" w:beforeAutospacing="0" w:after="0" w:afterAutospacing="0"/>
        <w:ind w:left="0"/>
        <w:rPr>
          <w:rFonts w:asciiTheme="minorHAnsi" w:hAnsiTheme="minorHAnsi" w:cstheme="minorHAnsi"/>
        </w:rPr>
      </w:pPr>
      <w:r w:rsidRPr="00882028">
        <w:rPr>
          <w:rFonts w:asciiTheme="minorHAnsi" w:hAnsiTheme="minorHAnsi" w:cstheme="minorHAnsi"/>
          <w:color w:val="000000"/>
          <w:kern w:val="24"/>
        </w:rPr>
        <w:t xml:space="preserve">Veic pacienta apskati pirms vakcinācijas; </w:t>
      </w:r>
    </w:p>
    <w:p w14:paraId="2D277DFA" w14:textId="77777777" w:rsidR="00882028" w:rsidRPr="00882028" w:rsidRDefault="00882028" w:rsidP="00882028">
      <w:pPr>
        <w:pStyle w:val="NormalWeb"/>
        <w:numPr>
          <w:ilvl w:val="0"/>
          <w:numId w:val="26"/>
        </w:numPr>
        <w:spacing w:before="0" w:beforeAutospacing="0" w:after="0" w:afterAutospacing="0"/>
        <w:ind w:left="0"/>
        <w:rPr>
          <w:rFonts w:asciiTheme="minorHAnsi" w:hAnsiTheme="minorHAnsi" w:cstheme="minorHAnsi"/>
        </w:rPr>
      </w:pPr>
      <w:r w:rsidRPr="00882028">
        <w:rPr>
          <w:rFonts w:asciiTheme="minorHAnsi" w:hAnsiTheme="minorHAnsi" w:cstheme="minorHAnsi"/>
          <w:color w:val="000000"/>
          <w:kern w:val="24"/>
        </w:rPr>
        <w:t>Veic pacientu vakcināciju iestādē;</w:t>
      </w:r>
    </w:p>
    <w:p w14:paraId="5F18AF78" w14:textId="77777777" w:rsidR="00882028" w:rsidRPr="00882028" w:rsidRDefault="00882028" w:rsidP="00882028">
      <w:pPr>
        <w:pStyle w:val="NormalWeb"/>
        <w:numPr>
          <w:ilvl w:val="0"/>
          <w:numId w:val="26"/>
        </w:numPr>
        <w:spacing w:before="0" w:beforeAutospacing="0" w:after="0" w:afterAutospacing="0"/>
        <w:ind w:left="0"/>
        <w:rPr>
          <w:rFonts w:asciiTheme="minorHAnsi" w:hAnsiTheme="minorHAnsi" w:cstheme="minorHAnsi"/>
        </w:rPr>
      </w:pPr>
      <w:r w:rsidRPr="00882028">
        <w:rPr>
          <w:rFonts w:asciiTheme="minorHAnsi" w:hAnsiTheme="minorHAnsi" w:cstheme="minorHAnsi"/>
          <w:color w:val="000000"/>
          <w:kern w:val="24"/>
        </w:rPr>
        <w:t>Veic vakcināciju pacienta dzīvesvietā.</w:t>
      </w:r>
    </w:p>
    <w:p w14:paraId="7DFED66E" w14:textId="77777777" w:rsidR="00882028" w:rsidRPr="00882028" w:rsidRDefault="00882028" w:rsidP="00882028">
      <w:pPr>
        <w:pStyle w:val="NormalWeb"/>
        <w:spacing w:before="0" w:beforeAutospacing="0" w:after="0" w:afterAutospacing="0"/>
        <w:ind w:firstLine="720"/>
        <w:jc w:val="both"/>
        <w:rPr>
          <w:rFonts w:asciiTheme="minorHAnsi" w:hAnsiTheme="minorHAnsi" w:cstheme="minorHAnsi"/>
        </w:rPr>
      </w:pPr>
      <w:r w:rsidRPr="00882028">
        <w:rPr>
          <w:rFonts w:asciiTheme="minorHAnsi" w:hAnsiTheme="minorHAnsi" w:cstheme="minorHAnsi"/>
        </w:rPr>
        <w:t>Ņemot vērā, ka šajā vakcinācijas sezonā netiks nodrošināta tālruņa 8989 darbība, t.sk. par pierakstu uz vakcināciju pret Covid-19, Praksēm īslaicīgi var pieaugt zvanu skaits. Dienests aicina izvērtēt Prakses kapacitāti un pārdomāt zvanu plūsmas organizēšanu pacientu pierakstam uz Covid-19 vakcināciju, izvērtējot iespēju atvērt atsevišķu tālruņa līniju vai citus iedzīvotājiem ērtus risinājums - Praksē vai Prakses sadarbības iestādē.</w:t>
      </w:r>
    </w:p>
    <w:p w14:paraId="1264767D" w14:textId="77777777" w:rsidR="00882028" w:rsidRPr="00882028" w:rsidRDefault="00882028" w:rsidP="00882028">
      <w:pPr>
        <w:pStyle w:val="NormalWeb"/>
        <w:spacing w:before="0" w:beforeAutospacing="0" w:after="0" w:afterAutospacing="0"/>
        <w:ind w:firstLine="720"/>
        <w:jc w:val="both"/>
        <w:rPr>
          <w:rFonts w:asciiTheme="minorHAnsi" w:hAnsiTheme="minorHAnsi" w:cstheme="minorHAnsi"/>
        </w:rPr>
      </w:pPr>
      <w:r w:rsidRPr="00882028">
        <w:rPr>
          <w:rFonts w:asciiTheme="minorHAnsi" w:hAnsiTheme="minorHAnsi" w:cstheme="minorHAnsi"/>
        </w:rPr>
        <w:t>Praksēm, kuras vakcināciju organizē sadarbības iestādē, ir jānodrošina pacienta pieraksts uz vakcināciju. Aicinām pieteikt jūsu Prakses darbiniekam pieeju manavakcīna.lv Dienesta teritoriālā nodaļā, lai var veikt Praksē reģistrēto pacientu pierakstu uz vakcināciju vai citu sadarbības formu ar vakcinācijas iestādi, kas nodrošinātu pacientam konkrētu pieraksta laiku, kad saņemt vakcināciju pret Covid-19.</w:t>
      </w:r>
    </w:p>
    <w:p w14:paraId="49DD64BE" w14:textId="77777777" w:rsidR="00882028" w:rsidRPr="00882028" w:rsidRDefault="00882028" w:rsidP="00882028">
      <w:pPr>
        <w:spacing w:after="0" w:line="240" w:lineRule="auto"/>
        <w:ind w:firstLine="720"/>
        <w:jc w:val="both"/>
        <w:rPr>
          <w:rFonts w:eastAsia="Times New Roman" w:cstheme="minorHAnsi"/>
          <w:sz w:val="24"/>
          <w:szCs w:val="24"/>
        </w:rPr>
      </w:pPr>
      <w:r w:rsidRPr="00882028">
        <w:rPr>
          <w:rFonts w:eastAsia="Times New Roman" w:cstheme="minorHAnsi"/>
          <w:sz w:val="24"/>
          <w:szCs w:val="24"/>
        </w:rPr>
        <w:t>Vienlaikus Dienests norāda, ka gadījumā, ja Prakse izvērtējot savus resursus un kapacitāti uzskata, ka tai ir nepieciešama papildu darbinieka piesaiste vakcinācijas pret Covid-19 organizēšanai un veikšanai, Praksei atbilstoši Noteikumu Nr.555 267.punktam ir iespēja līdz 31.12.2022. pieņemt darbā papildu darbinieku, t.sk. bez noteiktām prasībām pret izglītību, augstāk minēto funkciju nodrošināšanai un saņemt noteiktos maksājumus, vēršoties ar iesniegumu Dienesta teritoriālā nodaļā.</w:t>
      </w:r>
    </w:p>
    <w:p w14:paraId="2AA50B35" w14:textId="77777777" w:rsidR="00882028" w:rsidRPr="00882028" w:rsidRDefault="00882028" w:rsidP="00882028">
      <w:pPr>
        <w:spacing w:after="0" w:line="240" w:lineRule="auto"/>
        <w:ind w:firstLine="720"/>
        <w:jc w:val="both"/>
        <w:rPr>
          <w:rFonts w:cstheme="minorHAnsi"/>
          <w:color w:val="000000"/>
          <w:sz w:val="24"/>
          <w:szCs w:val="24"/>
        </w:rPr>
      </w:pPr>
      <w:bookmarkStart w:id="0" w:name="_Hlk94524125"/>
      <w:r w:rsidRPr="00882028">
        <w:rPr>
          <w:rFonts w:cstheme="minorHAnsi"/>
          <w:color w:val="000000"/>
          <w:sz w:val="24"/>
          <w:szCs w:val="24"/>
        </w:rPr>
        <w:t>Papildus informācija par vakcinācijas procesa organizāciju ir pieejama Vakcinācijas rokasgrāmatā Dienesta tīmekļa vietnē :</w:t>
      </w:r>
      <w:hyperlink r:id="rId7" w:history="1">
        <w:r w:rsidRPr="00882028">
          <w:rPr>
            <w:rStyle w:val="Hyperlink"/>
            <w:rFonts w:cstheme="minorHAnsi"/>
            <w:sz w:val="24"/>
            <w:szCs w:val="24"/>
          </w:rPr>
          <w:t>https://www.vmnvd.gov.lv/lv/vakcinacijas-rokasgramata-informativais-materials-vakcinacijas-veicejiem</w:t>
        </w:r>
      </w:hyperlink>
    </w:p>
    <w:bookmarkEnd w:id="0"/>
    <w:p w14:paraId="18ABB38B" w14:textId="77777777" w:rsidR="00882028" w:rsidRPr="00882028" w:rsidRDefault="00882028" w:rsidP="00882028">
      <w:pPr>
        <w:spacing w:after="0" w:line="240" w:lineRule="auto"/>
        <w:ind w:firstLine="720"/>
        <w:rPr>
          <w:rFonts w:cstheme="minorHAnsi"/>
          <w:sz w:val="24"/>
          <w:szCs w:val="24"/>
          <w:u w:val="single"/>
        </w:rPr>
      </w:pPr>
    </w:p>
    <w:p w14:paraId="0E139352" w14:textId="77777777" w:rsidR="00882028" w:rsidRPr="00882028" w:rsidRDefault="00882028" w:rsidP="00882028">
      <w:pPr>
        <w:spacing w:after="0" w:line="240" w:lineRule="auto"/>
        <w:ind w:firstLine="720"/>
        <w:rPr>
          <w:rFonts w:cstheme="minorHAnsi"/>
          <w:sz w:val="24"/>
          <w:szCs w:val="24"/>
          <w:u w:val="single"/>
        </w:rPr>
      </w:pPr>
      <w:r w:rsidRPr="00882028">
        <w:rPr>
          <w:rFonts w:cstheme="minorHAnsi"/>
          <w:sz w:val="24"/>
          <w:szCs w:val="24"/>
          <w:u w:val="single"/>
        </w:rPr>
        <w:lastRenderedPageBreak/>
        <w:t>Dienests pateicas par sadarbību valsts apmaksātu pakalpojumu, t.sk. vakcinācijas pret Covid-19 nodrošināšanā!</w:t>
      </w:r>
    </w:p>
    <w:p w14:paraId="200770A1" w14:textId="77777777" w:rsidR="00882028" w:rsidRPr="00882028" w:rsidRDefault="00882028" w:rsidP="00882028">
      <w:pPr>
        <w:spacing w:after="0" w:line="240" w:lineRule="auto"/>
        <w:ind w:firstLine="720"/>
        <w:jc w:val="both"/>
        <w:rPr>
          <w:rFonts w:cstheme="minorHAnsi"/>
          <w:sz w:val="24"/>
          <w:szCs w:val="24"/>
        </w:rPr>
      </w:pPr>
    </w:p>
    <w:p w14:paraId="5878A109" w14:textId="77777777" w:rsidR="00882028" w:rsidRPr="00882028" w:rsidRDefault="00882028" w:rsidP="00882028">
      <w:pPr>
        <w:spacing w:after="0" w:line="240" w:lineRule="auto"/>
        <w:ind w:firstLine="720"/>
        <w:jc w:val="both"/>
        <w:rPr>
          <w:rFonts w:cstheme="minorHAnsi"/>
          <w:sz w:val="24"/>
          <w:szCs w:val="24"/>
          <w:shd w:val="clear" w:color="auto" w:fill="FFFFFF"/>
        </w:rPr>
      </w:pPr>
      <w:r w:rsidRPr="00882028">
        <w:rPr>
          <w:rFonts w:cstheme="minorHAnsi"/>
          <w:sz w:val="24"/>
          <w:szCs w:val="24"/>
        </w:rPr>
        <w:t xml:space="preserve">Papildus Dienests atgādina, ka normatīvos aktos un savstarpēji noslēgtā līgumā ir noteikti nosacījumu pakalpojumu pieejamībai. </w:t>
      </w:r>
      <w:r w:rsidRPr="00882028">
        <w:rPr>
          <w:rFonts w:cstheme="minorHAnsi"/>
          <w:sz w:val="24"/>
          <w:szCs w:val="24"/>
          <w:shd w:val="clear" w:color="auto" w:fill="FFFFFF"/>
        </w:rPr>
        <w:t>Noslēdzot Līgumu</w:t>
      </w:r>
      <w:r w:rsidRPr="00882028">
        <w:rPr>
          <w:rStyle w:val="FootnoteReference"/>
          <w:rFonts w:cstheme="minorHAnsi"/>
          <w:sz w:val="24"/>
          <w:szCs w:val="24"/>
          <w:shd w:val="clear" w:color="auto" w:fill="FFFFFF"/>
        </w:rPr>
        <w:footnoteReference w:id="4"/>
      </w:r>
      <w:r w:rsidRPr="00882028">
        <w:rPr>
          <w:rFonts w:cstheme="minorHAnsi"/>
          <w:sz w:val="24"/>
          <w:szCs w:val="24"/>
          <w:shd w:val="clear" w:color="auto" w:fill="FFFFFF"/>
        </w:rPr>
        <w:t xml:space="preserve"> Prakse apņemas </w:t>
      </w:r>
      <w:r w:rsidRPr="00882028">
        <w:rPr>
          <w:rFonts w:eastAsia="Times New Roman" w:cstheme="minorHAnsi"/>
          <w:sz w:val="24"/>
          <w:szCs w:val="24"/>
        </w:rPr>
        <w:t>sniegt valsts apmaksātās medicīniskās palīdzības apjomā ietilpstošos veselības aprūpes pakalpojumus /../</w:t>
      </w:r>
      <w:r w:rsidRPr="00882028">
        <w:rPr>
          <w:rStyle w:val="FootnoteReference"/>
          <w:rFonts w:eastAsia="Times New Roman" w:cstheme="minorHAnsi"/>
          <w:sz w:val="24"/>
          <w:szCs w:val="24"/>
        </w:rPr>
        <w:footnoteReference w:id="5"/>
      </w:r>
      <w:r w:rsidRPr="00882028">
        <w:rPr>
          <w:rFonts w:eastAsia="Times New Roman" w:cstheme="minorHAnsi"/>
          <w:sz w:val="24"/>
          <w:szCs w:val="24"/>
        </w:rPr>
        <w:t xml:space="preserve"> un ievērot normatīvo aktu prasības. Pacientu veselības aprūpi Praksē vai pacientu dzīvesvietā ģimenes ārsts kopīgi ar ģimenes ārsta praksē nodarbinātām ārstniecības personām nodrošina Noteikumu Nr.555</w:t>
      </w:r>
      <w:r w:rsidRPr="00882028">
        <w:rPr>
          <w:rStyle w:val="FootnoteReference"/>
          <w:rFonts w:eastAsia="Times New Roman" w:cstheme="minorHAnsi"/>
          <w:sz w:val="24"/>
          <w:szCs w:val="24"/>
        </w:rPr>
        <w:footnoteReference w:id="6"/>
      </w:r>
      <w:r w:rsidRPr="00882028">
        <w:rPr>
          <w:rFonts w:eastAsia="Times New Roman" w:cstheme="minorHAnsi"/>
          <w:sz w:val="24"/>
          <w:szCs w:val="24"/>
        </w:rPr>
        <w:t xml:space="preserve"> 39.punktā noteiktajā kārtībā, nosakot Prakses darba laiku ne mazāku kā 40 stundas nedēļā.t.sk. tās </w:t>
      </w:r>
      <w:proofErr w:type="spellStart"/>
      <w:r w:rsidRPr="00882028">
        <w:rPr>
          <w:rFonts w:eastAsia="Times New Roman" w:cstheme="minorHAnsi"/>
          <w:sz w:val="24"/>
          <w:szCs w:val="24"/>
        </w:rPr>
        <w:t>atvērtību</w:t>
      </w:r>
      <w:proofErr w:type="spellEnd"/>
      <w:r w:rsidRPr="00882028">
        <w:rPr>
          <w:rFonts w:eastAsia="Times New Roman" w:cstheme="minorHAnsi"/>
          <w:sz w:val="24"/>
          <w:szCs w:val="24"/>
        </w:rPr>
        <w:t xml:space="preserve"> un </w:t>
      </w:r>
      <w:proofErr w:type="spellStart"/>
      <w:r w:rsidRPr="00882028">
        <w:rPr>
          <w:rFonts w:eastAsia="Times New Roman" w:cstheme="minorHAnsi"/>
          <w:sz w:val="24"/>
          <w:szCs w:val="24"/>
        </w:rPr>
        <w:t>sazvanāmību</w:t>
      </w:r>
      <w:proofErr w:type="spellEnd"/>
      <w:r w:rsidRPr="00882028">
        <w:rPr>
          <w:rFonts w:eastAsia="Times New Roman" w:cstheme="minorHAnsi"/>
          <w:sz w:val="24"/>
          <w:szCs w:val="24"/>
        </w:rPr>
        <w:t xml:space="preserve"> un pacientu pieņemšanas laiku ne mazāk kā 20 vai 25 stundas (attiecībā no reģistrēto pacientu skaita) nedēļā, un </w:t>
      </w:r>
      <w:r w:rsidRPr="00882028">
        <w:rPr>
          <w:rFonts w:cstheme="minorHAnsi"/>
          <w:sz w:val="24"/>
          <w:szCs w:val="24"/>
          <w:shd w:val="clear" w:color="auto" w:fill="FFFFFF"/>
        </w:rPr>
        <w:t>vismaz vienu reizi nedēļā pacientu pieņemšanu nodrošinātu no plkst. 8.00 un vismaz vienu reizi nedēļā – līdz plkst. 19.00.</w:t>
      </w:r>
    </w:p>
    <w:p w14:paraId="30E30263" w14:textId="77777777" w:rsidR="00882028" w:rsidRPr="00882028" w:rsidRDefault="00882028" w:rsidP="00882028">
      <w:pPr>
        <w:spacing w:after="0" w:line="240" w:lineRule="auto"/>
        <w:ind w:firstLine="720"/>
        <w:jc w:val="both"/>
        <w:rPr>
          <w:rFonts w:cstheme="minorHAnsi"/>
          <w:sz w:val="24"/>
          <w:szCs w:val="24"/>
          <w:shd w:val="clear" w:color="auto" w:fill="FFFFFF"/>
        </w:rPr>
      </w:pPr>
      <w:r w:rsidRPr="00882028">
        <w:rPr>
          <w:rFonts w:cstheme="minorHAnsi"/>
          <w:sz w:val="24"/>
          <w:szCs w:val="24"/>
          <w:shd w:val="clear" w:color="auto" w:fill="FFFFFF"/>
        </w:rPr>
        <w:t>Ja Dienests saņems informāciju (sūdzību) no iedzīvotājiem, ka Prakse neorganizē vakcināciju pret Covid-19, tad Dienesta Teritoriālā nodaļa situāciju risinās individuāli ar Praksi.</w:t>
      </w:r>
    </w:p>
    <w:p w14:paraId="0FDF561A" w14:textId="77777777" w:rsidR="00882028" w:rsidRPr="00882028" w:rsidRDefault="00882028" w:rsidP="00882028">
      <w:pPr>
        <w:spacing w:after="0" w:line="240" w:lineRule="auto"/>
        <w:ind w:firstLine="720"/>
        <w:rPr>
          <w:rFonts w:cstheme="minorHAnsi"/>
          <w:sz w:val="24"/>
          <w:szCs w:val="24"/>
          <w:u w:val="single"/>
        </w:rPr>
      </w:pPr>
    </w:p>
    <w:p w14:paraId="5AFECEAF" w14:textId="021B73ED" w:rsidR="007345E5" w:rsidRPr="00882028" w:rsidRDefault="00D85BCE" w:rsidP="00882028">
      <w:pPr>
        <w:spacing w:after="0" w:line="240" w:lineRule="auto"/>
        <w:ind w:firstLine="720"/>
        <w:jc w:val="both"/>
        <w:rPr>
          <w:rFonts w:cstheme="minorHAnsi"/>
          <w:b/>
          <w:bCs/>
        </w:rPr>
      </w:pPr>
      <w:r>
        <w:object w:dxaOrig="1540" w:dyaOrig="997" w14:anchorId="551CE9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7.25pt;height:49.5pt" o:ole="">
            <v:imagedata r:id="rId8" o:title=""/>
          </v:shape>
          <o:OLEObject Type="Embed" ProgID="AcroExch.Document.DC" ShapeID="_x0000_i1028" DrawAspect="Icon" ObjectID="_1723530489" r:id="rId9"/>
        </w:object>
      </w:r>
      <w:r>
        <w:object w:dxaOrig="1540" w:dyaOrig="997" w14:anchorId="51353ABE">
          <v:shape id="_x0000_i1027" type="#_x0000_t75" style="width:77.25pt;height:49.5pt" o:ole="">
            <v:imagedata r:id="rId10" o:title=""/>
          </v:shape>
          <o:OLEObject Type="Embed" ProgID="AcroExch.Document.DC" ShapeID="_x0000_i1027" DrawAspect="Icon" ObjectID="_1723530490" r:id="rId11"/>
        </w:object>
      </w:r>
    </w:p>
    <w:sectPr w:rsidR="007345E5" w:rsidRPr="0088202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8C31B" w14:textId="77777777" w:rsidR="007F6CCB" w:rsidRDefault="007F6CCB" w:rsidP="00882028">
      <w:pPr>
        <w:spacing w:after="0" w:line="240" w:lineRule="auto"/>
      </w:pPr>
      <w:r>
        <w:separator/>
      </w:r>
    </w:p>
  </w:endnote>
  <w:endnote w:type="continuationSeparator" w:id="0">
    <w:p w14:paraId="09DE2C7B" w14:textId="77777777" w:rsidR="007F6CCB" w:rsidRDefault="007F6CCB" w:rsidP="00882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7830D" w14:textId="77777777" w:rsidR="007F6CCB" w:rsidRDefault="007F6CCB" w:rsidP="00882028">
      <w:pPr>
        <w:spacing w:after="0" w:line="240" w:lineRule="auto"/>
      </w:pPr>
      <w:r>
        <w:separator/>
      </w:r>
    </w:p>
  </w:footnote>
  <w:footnote w:type="continuationSeparator" w:id="0">
    <w:p w14:paraId="11744121" w14:textId="77777777" w:rsidR="007F6CCB" w:rsidRDefault="007F6CCB" w:rsidP="00882028">
      <w:pPr>
        <w:spacing w:after="0" w:line="240" w:lineRule="auto"/>
      </w:pPr>
      <w:r>
        <w:continuationSeparator/>
      </w:r>
    </w:p>
  </w:footnote>
  <w:footnote w:id="1">
    <w:p w14:paraId="05F6D786" w14:textId="77777777" w:rsidR="00882028" w:rsidRPr="0088505D" w:rsidRDefault="00882028" w:rsidP="00882028">
      <w:pPr>
        <w:pStyle w:val="FootnoteText"/>
        <w:spacing w:after="0"/>
        <w:rPr>
          <w:rFonts w:ascii="Times New Roman" w:hAnsi="Times New Roman"/>
          <w:lang w:val="lv-LV"/>
        </w:rPr>
      </w:pPr>
      <w:r>
        <w:rPr>
          <w:rStyle w:val="FootnoteReference"/>
        </w:rPr>
        <w:footnoteRef/>
      </w:r>
      <w:r>
        <w:t xml:space="preserve"> </w:t>
      </w:r>
      <w:r w:rsidRPr="0088505D">
        <w:rPr>
          <w:rFonts w:ascii="Times New Roman" w:hAnsi="Times New Roman"/>
          <w:lang w:val="lv-LV"/>
        </w:rPr>
        <w:t>Imunizācijas valsts padomes 03.08.2022. sanāksmes protokols Nr.78</w:t>
      </w:r>
    </w:p>
  </w:footnote>
  <w:footnote w:id="2">
    <w:p w14:paraId="69B6EC5F" w14:textId="77777777" w:rsidR="00882028" w:rsidRPr="0088505D" w:rsidRDefault="00882028" w:rsidP="00882028">
      <w:pPr>
        <w:pStyle w:val="FootnoteText"/>
        <w:spacing w:after="0" w:line="240" w:lineRule="auto"/>
        <w:jc w:val="both"/>
        <w:rPr>
          <w:rFonts w:ascii="Times New Roman" w:hAnsi="Times New Roman"/>
        </w:rPr>
      </w:pPr>
      <w:r w:rsidRPr="0088505D">
        <w:rPr>
          <w:rStyle w:val="FootnoteReference"/>
          <w:rFonts w:ascii="Times New Roman" w:hAnsi="Times New Roman"/>
        </w:rPr>
        <w:footnoteRef/>
      </w:r>
      <w:r w:rsidRPr="0088505D">
        <w:rPr>
          <w:rFonts w:ascii="Times New Roman" w:hAnsi="Times New Roman"/>
        </w:rPr>
        <w:t xml:space="preserve"> </w:t>
      </w:r>
      <w:hyperlink r:id="rId1" w:history="1">
        <w:r w:rsidRPr="0088505D">
          <w:rPr>
            <w:rStyle w:val="Hyperlink"/>
            <w:rFonts w:ascii="Times New Roman" w:hAnsi="Times New Roman"/>
          </w:rPr>
          <w:t>https://www.zva.gov.lv/lv/informacija-arstniecibas-personam-par-vakcinam-un-vakcinaciju-pret-covid-19</w:t>
        </w:r>
      </w:hyperlink>
      <w:r w:rsidRPr="0088505D">
        <w:rPr>
          <w:rFonts w:ascii="Times New Roman" w:hAnsi="Times New Roman"/>
        </w:rPr>
        <w:t xml:space="preserve"> </w:t>
      </w:r>
    </w:p>
  </w:footnote>
  <w:footnote w:id="3">
    <w:p w14:paraId="2996D74C" w14:textId="77777777" w:rsidR="00882028" w:rsidRPr="00B53D75" w:rsidRDefault="00882028" w:rsidP="00882028">
      <w:pPr>
        <w:pStyle w:val="FootnoteText"/>
        <w:spacing w:after="0" w:line="240" w:lineRule="auto"/>
        <w:jc w:val="both"/>
        <w:rPr>
          <w:lang w:val="lv-LV"/>
        </w:rPr>
      </w:pPr>
      <w:r w:rsidRPr="0088505D">
        <w:rPr>
          <w:rStyle w:val="FootnoteReference"/>
          <w:rFonts w:ascii="Times New Roman" w:hAnsi="Times New Roman"/>
        </w:rPr>
        <w:footnoteRef/>
      </w:r>
      <w:r w:rsidRPr="0088505D">
        <w:rPr>
          <w:rFonts w:ascii="Times New Roman" w:hAnsi="Times New Roman"/>
        </w:rPr>
        <w:t xml:space="preserve"> </w:t>
      </w:r>
      <w:r w:rsidRPr="0088505D">
        <w:rPr>
          <w:rFonts w:ascii="Times New Roman" w:hAnsi="Times New Roman"/>
          <w:lang w:val="lv-LV"/>
        </w:rPr>
        <w:t>Līguma 6.pielikuma</w:t>
      </w:r>
      <w:r w:rsidRPr="0088505D">
        <w:rPr>
          <w:rFonts w:ascii="Times New Roman" w:hAnsi="Times New Roman"/>
        </w:rPr>
        <w:t xml:space="preserve"> </w:t>
      </w:r>
      <w:r w:rsidRPr="0088505D">
        <w:rPr>
          <w:rFonts w:ascii="Times New Roman" w:hAnsi="Times New Roman"/>
          <w:lang w:val="lv-LV"/>
        </w:rPr>
        <w:t>COVID-19 vakcinācijas organizācijas un apmaksas kārtība 1.punkts</w:t>
      </w:r>
      <w:r w:rsidRPr="00EC705B">
        <w:rPr>
          <w:rFonts w:ascii="Times New Roman" w:hAnsi="Times New Roman"/>
          <w:lang w:val="lv-LV"/>
        </w:rPr>
        <w:t xml:space="preserve"> </w:t>
      </w:r>
    </w:p>
  </w:footnote>
  <w:footnote w:id="4">
    <w:p w14:paraId="1ACE4FD6" w14:textId="77777777" w:rsidR="00882028" w:rsidRPr="0088505D" w:rsidRDefault="00882028" w:rsidP="00882028">
      <w:pPr>
        <w:pStyle w:val="FootnoteText"/>
        <w:spacing w:after="0" w:line="240" w:lineRule="auto"/>
        <w:jc w:val="both"/>
        <w:rPr>
          <w:rFonts w:ascii="Times New Roman" w:hAnsi="Times New Roman"/>
          <w:lang w:val="lv-LV"/>
        </w:rPr>
      </w:pPr>
      <w:r w:rsidRPr="0088505D">
        <w:rPr>
          <w:rStyle w:val="FootnoteReference"/>
          <w:rFonts w:ascii="Times New Roman" w:hAnsi="Times New Roman"/>
        </w:rPr>
        <w:footnoteRef/>
      </w:r>
      <w:r w:rsidRPr="0088505D">
        <w:rPr>
          <w:rFonts w:ascii="Times New Roman" w:hAnsi="Times New Roman"/>
          <w:lang w:val="lv-LV"/>
        </w:rPr>
        <w:t>Līgums “Par primārās veselības aprūpes pakalpojumu sniegšanu un apmaksu”</w:t>
      </w:r>
      <w:r w:rsidRPr="0088505D">
        <w:rPr>
          <w:rFonts w:ascii="Times New Roman" w:hAnsi="Times New Roman"/>
          <w:shd w:val="clear" w:color="auto" w:fill="FFFFFF"/>
          <w:lang w:val="lv-LV"/>
        </w:rPr>
        <w:t xml:space="preserve"> (turpmāk - Līgums)</w:t>
      </w:r>
      <w:r w:rsidRPr="0088505D">
        <w:rPr>
          <w:rFonts w:ascii="Times New Roman" w:hAnsi="Times New Roman"/>
        </w:rPr>
        <w:t xml:space="preserve"> - </w:t>
      </w:r>
      <w:hyperlink r:id="rId2" w:history="1">
        <w:r w:rsidRPr="0088505D">
          <w:rPr>
            <w:rStyle w:val="Hyperlink"/>
            <w:rFonts w:ascii="Times New Roman" w:hAnsi="Times New Roman"/>
          </w:rPr>
          <w:t>https://www.vmnvd.gov.lv/lv/primaras-veselibas-aprupes-pakalpojumu-liguma-paraugs-0</w:t>
        </w:r>
      </w:hyperlink>
      <w:r w:rsidRPr="0088505D">
        <w:rPr>
          <w:rFonts w:ascii="Times New Roman" w:hAnsi="Times New Roman"/>
        </w:rPr>
        <w:t xml:space="preserve"> </w:t>
      </w:r>
    </w:p>
  </w:footnote>
  <w:footnote w:id="5">
    <w:p w14:paraId="77D97452" w14:textId="77777777" w:rsidR="00882028" w:rsidRPr="0088505D" w:rsidRDefault="00882028" w:rsidP="00882028">
      <w:pPr>
        <w:pStyle w:val="FootnoteText"/>
        <w:spacing w:after="0" w:line="240" w:lineRule="auto"/>
        <w:jc w:val="both"/>
        <w:rPr>
          <w:rFonts w:ascii="Times New Roman" w:hAnsi="Times New Roman"/>
          <w:lang w:val="lv-LV"/>
        </w:rPr>
      </w:pPr>
      <w:r w:rsidRPr="0088505D">
        <w:rPr>
          <w:rStyle w:val="FootnoteReference"/>
          <w:rFonts w:ascii="Times New Roman" w:hAnsi="Times New Roman"/>
        </w:rPr>
        <w:footnoteRef/>
      </w:r>
      <w:r w:rsidRPr="0088505D">
        <w:rPr>
          <w:rFonts w:ascii="Times New Roman" w:hAnsi="Times New Roman"/>
        </w:rPr>
        <w:t xml:space="preserve"> </w:t>
      </w:r>
      <w:r w:rsidRPr="0088505D">
        <w:rPr>
          <w:rFonts w:ascii="Times New Roman" w:hAnsi="Times New Roman"/>
          <w:lang w:val="lv-LV"/>
        </w:rPr>
        <w:t>Līguma 1.1.punkts</w:t>
      </w:r>
    </w:p>
  </w:footnote>
  <w:footnote w:id="6">
    <w:p w14:paraId="6C5054BD" w14:textId="77777777" w:rsidR="00882028" w:rsidRPr="0088505D" w:rsidRDefault="00882028" w:rsidP="00882028">
      <w:pPr>
        <w:pStyle w:val="FootnoteText"/>
        <w:spacing w:after="0" w:line="240" w:lineRule="auto"/>
        <w:jc w:val="both"/>
        <w:rPr>
          <w:rFonts w:ascii="Times New Roman" w:hAnsi="Times New Roman"/>
          <w:lang w:val="lv-LV"/>
        </w:rPr>
      </w:pPr>
      <w:r w:rsidRPr="0088505D">
        <w:rPr>
          <w:rStyle w:val="FootnoteReference"/>
          <w:rFonts w:ascii="Times New Roman" w:hAnsi="Times New Roman"/>
        </w:rPr>
        <w:footnoteRef/>
      </w:r>
      <w:r w:rsidRPr="0088505D">
        <w:rPr>
          <w:rFonts w:ascii="Times New Roman" w:hAnsi="Times New Roman"/>
        </w:rPr>
        <w:t xml:space="preserve"> </w:t>
      </w:r>
      <w:r w:rsidRPr="0088505D">
        <w:rPr>
          <w:rFonts w:ascii="Times New Roman" w:hAnsi="Times New Roman"/>
          <w:shd w:val="clear" w:color="auto" w:fill="FFFFFF"/>
          <w:lang w:val="lv-LV"/>
        </w:rPr>
        <w:t>Ministru kabineta 2018.gada 28.augusta noteikumu Nr.555 “Veselības aprūpes pakalpojumu organizēšanas un samaksas kārtība” (turpmāk – Noteikumi Nr.555)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03F"/>
    <w:multiLevelType w:val="hybridMultilevel"/>
    <w:tmpl w:val="52306470"/>
    <w:lvl w:ilvl="0" w:tplc="EEFA90A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0"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3"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7"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3"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4"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3"/>
  </w:num>
  <w:num w:numId="2" w16cid:durableId="8610184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4"/>
  </w:num>
  <w:num w:numId="4" w16cid:durableId="1635259919">
    <w:abstractNumId w:val="21"/>
  </w:num>
  <w:num w:numId="5" w16cid:durableId="1657148472">
    <w:abstractNumId w:val="18"/>
  </w:num>
  <w:num w:numId="6" w16cid:durableId="1106003344">
    <w:abstractNumId w:val="12"/>
  </w:num>
  <w:num w:numId="7" w16cid:durableId="375082792">
    <w:abstractNumId w:val="17"/>
  </w:num>
  <w:num w:numId="8" w16cid:durableId="1798452046">
    <w:abstractNumId w:val="8"/>
  </w:num>
  <w:num w:numId="9" w16cid:durableId="1326278971">
    <w:abstractNumId w:val="22"/>
  </w:num>
  <w:num w:numId="10" w16cid:durableId="1244604513">
    <w:abstractNumId w:val="19"/>
  </w:num>
  <w:num w:numId="11" w16cid:durableId="174618294">
    <w:abstractNumId w:val="2"/>
  </w:num>
  <w:num w:numId="12" w16cid:durableId="14476998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3"/>
  </w:num>
  <w:num w:numId="15" w16cid:durableId="284892160">
    <w:abstractNumId w:val="6"/>
  </w:num>
  <w:num w:numId="16" w16cid:durableId="1053846027">
    <w:abstractNumId w:val="9"/>
  </w:num>
  <w:num w:numId="17" w16cid:durableId="1079059332">
    <w:abstractNumId w:val="16"/>
  </w:num>
  <w:num w:numId="18" w16cid:durableId="1466317037">
    <w:abstractNumId w:val="11"/>
  </w:num>
  <w:num w:numId="19" w16cid:durableId="1294941619">
    <w:abstractNumId w:val="14"/>
  </w:num>
  <w:num w:numId="20" w16cid:durableId="348720614">
    <w:abstractNumId w:val="10"/>
  </w:num>
  <w:num w:numId="21" w16cid:durableId="1340541331">
    <w:abstractNumId w:val="13"/>
  </w:num>
  <w:num w:numId="22" w16cid:durableId="2119063125">
    <w:abstractNumId w:val="1"/>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708094574">
    <w:abstractNumId w:val="0"/>
    <w:lvlOverride w:ilvl="0"/>
    <w:lvlOverride w:ilvl="1"/>
    <w:lvlOverride w:ilvl="2"/>
    <w:lvlOverride w:ilvl="3"/>
    <w:lvlOverride w:ilvl="4"/>
    <w:lvlOverride w:ilvl="5"/>
    <w:lvlOverride w:ilvl="6"/>
    <w:lvlOverride w:ilvl="7"/>
    <w:lvlOverride w:ilvl="8"/>
  </w:num>
  <w:num w:numId="26" w16cid:durableId="1411077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94C1B"/>
    <w:rsid w:val="000A20DA"/>
    <w:rsid w:val="000C6255"/>
    <w:rsid w:val="000E0C29"/>
    <w:rsid w:val="001774CD"/>
    <w:rsid w:val="00186157"/>
    <w:rsid w:val="001B1BDA"/>
    <w:rsid w:val="001C6DEB"/>
    <w:rsid w:val="001D61FC"/>
    <w:rsid w:val="001E15BA"/>
    <w:rsid w:val="002A1B49"/>
    <w:rsid w:val="002C35F4"/>
    <w:rsid w:val="00304706"/>
    <w:rsid w:val="0030758B"/>
    <w:rsid w:val="00327A80"/>
    <w:rsid w:val="00330428"/>
    <w:rsid w:val="00345D92"/>
    <w:rsid w:val="00371232"/>
    <w:rsid w:val="003E3B83"/>
    <w:rsid w:val="004078D5"/>
    <w:rsid w:val="00416FA7"/>
    <w:rsid w:val="00446226"/>
    <w:rsid w:val="004824D3"/>
    <w:rsid w:val="0048268D"/>
    <w:rsid w:val="00484F86"/>
    <w:rsid w:val="004A4644"/>
    <w:rsid w:val="004A4E77"/>
    <w:rsid w:val="004E6167"/>
    <w:rsid w:val="00517648"/>
    <w:rsid w:val="00521A40"/>
    <w:rsid w:val="00564BE5"/>
    <w:rsid w:val="005A345A"/>
    <w:rsid w:val="0061133A"/>
    <w:rsid w:val="00695B0E"/>
    <w:rsid w:val="006A5526"/>
    <w:rsid w:val="006E1BC3"/>
    <w:rsid w:val="006F0546"/>
    <w:rsid w:val="00712CFD"/>
    <w:rsid w:val="0071736A"/>
    <w:rsid w:val="007345E5"/>
    <w:rsid w:val="00764DF1"/>
    <w:rsid w:val="007C1832"/>
    <w:rsid w:val="007F6CCB"/>
    <w:rsid w:val="008137AF"/>
    <w:rsid w:val="0083168F"/>
    <w:rsid w:val="00831933"/>
    <w:rsid w:val="00882028"/>
    <w:rsid w:val="00886BDC"/>
    <w:rsid w:val="00893247"/>
    <w:rsid w:val="00894A57"/>
    <w:rsid w:val="00923F48"/>
    <w:rsid w:val="00940625"/>
    <w:rsid w:val="009B6E3B"/>
    <w:rsid w:val="009D6094"/>
    <w:rsid w:val="00A12D67"/>
    <w:rsid w:val="00A17177"/>
    <w:rsid w:val="00A50BC8"/>
    <w:rsid w:val="00A80153"/>
    <w:rsid w:val="00A972F0"/>
    <w:rsid w:val="00AE3F01"/>
    <w:rsid w:val="00AE4F9D"/>
    <w:rsid w:val="00AF4662"/>
    <w:rsid w:val="00B246EF"/>
    <w:rsid w:val="00B6351F"/>
    <w:rsid w:val="00B95F91"/>
    <w:rsid w:val="00BE2CD4"/>
    <w:rsid w:val="00CD20A4"/>
    <w:rsid w:val="00CF744E"/>
    <w:rsid w:val="00D2785A"/>
    <w:rsid w:val="00D32E3D"/>
    <w:rsid w:val="00D75D6C"/>
    <w:rsid w:val="00D8035C"/>
    <w:rsid w:val="00D85BCE"/>
    <w:rsid w:val="00D87A54"/>
    <w:rsid w:val="00DB15E8"/>
    <w:rsid w:val="00DB3AF5"/>
    <w:rsid w:val="00DC017F"/>
    <w:rsid w:val="00E06F16"/>
    <w:rsid w:val="00EA4FB9"/>
    <w:rsid w:val="00EB64EA"/>
    <w:rsid w:val="00F50425"/>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paragraph" w:styleId="FootnoteText">
    <w:name w:val="footnote text"/>
    <w:basedOn w:val="Normal"/>
    <w:link w:val="FootnoteTextChar"/>
    <w:uiPriority w:val="99"/>
    <w:semiHidden/>
    <w:unhideWhenUsed/>
    <w:rsid w:val="00882028"/>
    <w:pPr>
      <w:widowControl w:val="0"/>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82028"/>
    <w:rPr>
      <w:rFonts w:ascii="Calibri" w:eastAsia="Calibri" w:hAnsi="Calibri" w:cs="Times New Roman"/>
      <w:sz w:val="20"/>
      <w:szCs w:val="20"/>
      <w:lang w:val="en-US"/>
    </w:rPr>
  </w:style>
  <w:style w:type="character" w:styleId="FootnoteReference">
    <w:name w:val="footnote reference"/>
    <w:uiPriority w:val="99"/>
    <w:unhideWhenUsed/>
    <w:rsid w:val="008820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06129855">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66001730">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21927981">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mnvd.gov.lv/lv/vakcinacijas-rokasgramata-informativais-materials-vakcinacijas-veicejie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2" Type="http://schemas.openxmlformats.org/officeDocument/2006/relationships/hyperlink" Target="https://www.vmnvd.gov.lv/lv/primaras-veselibas-aprupes-pakalpojumu-liguma-paraugs-0" TargetMode="External"/><Relationship Id="rId1" Type="http://schemas.openxmlformats.org/officeDocument/2006/relationships/hyperlink" Target="https://www.zva.gov.lv/lv/informacija-arstniecibas-personam-par-vakcinam-un-vakcinaciju-pret-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2577</Words>
  <Characters>1470</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2022-09-01T06:42:00Z</dcterms:created>
  <dcterms:modified xsi:type="dcterms:W3CDTF">2022-09-01T06:42:00Z</dcterms:modified>
</cp:coreProperties>
</file>