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DC" w:rsidRDefault="001566DC" w:rsidP="001566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Valsts organizētā zarnu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sniegšanas nosacījumi no 2020.gada 1. aprīļa</w:t>
      </w:r>
    </w:p>
    <w:p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2019.gada 1.oktobra zarnu vēža </w:t>
      </w:r>
      <w:proofErr w:type="spellStart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pārbaude slēpto asiņu noteikšanai tiek veikta ar </w:t>
      </w:r>
      <w:proofErr w:type="spellStart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imūnķīmijas</w:t>
      </w:r>
      <w:proofErr w:type="spellEnd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metodi. Testa komplektu piegādi ģimenes ārstiem un testa veikšanu nodrošina </w:t>
      </w:r>
      <w:proofErr w:type="spellStart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SIA”Centrālā</w:t>
      </w:r>
      <w:proofErr w:type="spellEnd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laboratorija”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566DC" w:rsidRPr="00727151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eikt testu pieprasījumu, norādot nepieciešamo testa komplektu skaitu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var:</w:t>
      </w:r>
    </w:p>
    <w:p w:rsidR="001566DC" w:rsidRPr="00727151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pa tālruni 29904278;</w:t>
      </w:r>
    </w:p>
    <w:p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rakstot uz e-pastu </w:t>
      </w:r>
      <w:hyperlink r:id="rId5" w:history="1">
        <w:r w:rsidRPr="008E32E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fit@laboratorija.lv</w:t>
        </w:r>
      </w:hyperlink>
    </w:p>
    <w:p w:rsidR="001566DC" w:rsidRPr="00905E74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905E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esti vienā pieprasījumu reizē ģimenes ārstu praksei tiks piegādāti ne vairāk kā 10 % apmērā no praksē reģistrētās pacientu mērķa grupas (par konkrēto mērķa grupā ietilpstošo pacientu skaitu katrā ģimenes ārstu praksē informācija ir pieejama Centrālai laboratorijai). </w:t>
      </w:r>
    </w:p>
    <w:p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Pr="00905E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testa komplektā esošā nosūtījuma ārstam ir jānorāda -  ģimenes ārsta prakses nosaukums, ģimenes ārsta prakses kods, kā arī ģimenes ārsta identifikators.</w:t>
      </w:r>
    </w:p>
    <w:p w:rsidR="001566DC" w:rsidRPr="00A20585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Valsts organizētā zarnu vēža </w:t>
      </w:r>
      <w:proofErr w:type="spellStart"/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apmaksas nosacījumi:</w:t>
      </w:r>
    </w:p>
    <w:tbl>
      <w:tblPr>
        <w:tblpPr w:leftFromText="180" w:rightFromText="180" w:vertAnchor="text" w:horzAnchor="page" w:tblpX="1839" w:tblpY="2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616"/>
        <w:gridCol w:w="1229"/>
        <w:gridCol w:w="5836"/>
      </w:tblGrid>
      <w:tr w:rsidR="001566DC" w:rsidRPr="000B2BFC" w:rsidTr="001566DC">
        <w:trPr>
          <w:trHeight w:val="825"/>
        </w:trPr>
        <w:tc>
          <w:tcPr>
            <w:tcW w:w="812" w:type="dxa"/>
            <w:shd w:val="clear" w:color="000000" w:fill="FFFFFF"/>
            <w:hideMark/>
          </w:tcPr>
          <w:p w:rsidR="001566DC" w:rsidRDefault="001566DC" w:rsidP="0028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1566DC" w:rsidRPr="000B2BFC" w:rsidRDefault="001566DC" w:rsidP="0028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8681" w:type="dxa"/>
            <w:gridSpan w:val="3"/>
            <w:shd w:val="clear" w:color="000000" w:fill="FFFFFF"/>
            <w:vAlign w:val="center"/>
            <w:hideMark/>
          </w:tcPr>
          <w:p w:rsidR="001566DC" w:rsidRPr="000B2BFC" w:rsidRDefault="001566DC" w:rsidP="0028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Zarnu audzēju agrīnā diagnostika</w:t>
            </w:r>
          </w:p>
        </w:tc>
      </w:tr>
      <w:tr w:rsidR="001566DC" w:rsidRPr="000B2BFC" w:rsidTr="001566DC">
        <w:trPr>
          <w:trHeight w:val="690"/>
        </w:trPr>
        <w:tc>
          <w:tcPr>
            <w:tcW w:w="812" w:type="dxa"/>
            <w:vAlign w:val="center"/>
          </w:tcPr>
          <w:p w:rsidR="001566DC" w:rsidRPr="000B2BFC" w:rsidRDefault="001566DC" w:rsidP="0015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shd w:val="clear" w:color="auto" w:fill="auto"/>
          </w:tcPr>
          <w:p w:rsidR="001566DC" w:rsidRPr="000B2BFC" w:rsidRDefault="001566DC" w:rsidP="0015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Slēpto asiņu tests</w:t>
            </w:r>
          </w:p>
        </w:tc>
        <w:tc>
          <w:tcPr>
            <w:tcW w:w="1229" w:type="dxa"/>
            <w:shd w:val="clear" w:color="auto" w:fill="auto"/>
          </w:tcPr>
          <w:p w:rsidR="001566DC" w:rsidRPr="000B2BFC" w:rsidRDefault="001566DC" w:rsidP="0015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Z12.1.</w:t>
            </w:r>
          </w:p>
        </w:tc>
        <w:tc>
          <w:tcPr>
            <w:tcW w:w="5836" w:type="dxa"/>
            <w:shd w:val="clear" w:color="auto" w:fill="auto"/>
            <w:vAlign w:val="center"/>
          </w:tcPr>
          <w:p w:rsidR="001566DC" w:rsidRPr="000B2BFC" w:rsidRDefault="001566DC" w:rsidP="0015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60125 - </w:t>
            </w:r>
            <w:r w:rsidRPr="00727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I-</w:t>
            </w:r>
            <w:proofErr w:type="spellStart"/>
            <w:r w:rsidRPr="00727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Fobt</w:t>
            </w:r>
            <w:proofErr w:type="spellEnd"/>
            <w:r w:rsidRPr="00727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testa izsniegšana pacientam ģimenes ārsta praksē</w:t>
            </w:r>
          </w:p>
        </w:tc>
      </w:tr>
    </w:tbl>
    <w:p w:rsidR="001566DC" w:rsidRDefault="001566DC" w:rsidP="001566DC"/>
    <w:p w:rsidR="001566DC" w:rsidRPr="004C7403" w:rsidRDefault="001566DC" w:rsidP="0015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C7403">
        <w:rPr>
          <w:rFonts w:ascii="Times New Roman" w:hAnsi="Times New Roman" w:cs="Times New Roman"/>
          <w:sz w:val="24"/>
          <w:szCs w:val="24"/>
        </w:rPr>
        <w:t>Izmeklēšanas algoritms pēc slēpto asiņu testa rezultātu nolasīšanas fēču paraugā: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6"/>
        <w:gridCol w:w="6084"/>
      </w:tblGrid>
      <w:tr w:rsidR="001566DC" w:rsidRPr="004C7403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DC" w:rsidRPr="004C7403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Testa rezultāts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DC" w:rsidRPr="004C7403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Turpmākie izmeklējumi</w:t>
            </w:r>
          </w:p>
        </w:tc>
      </w:tr>
      <w:tr w:rsidR="001566DC" w:rsidRPr="004C7403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6DC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tests pozitīvs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6DC" w:rsidRDefault="001566DC" w:rsidP="00DD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Pacientu </w:t>
            </w:r>
            <w:proofErr w:type="spellStart"/>
            <w:r w:rsidR="00DD0EFB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DD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0EFB">
              <w:rPr>
                <w:rFonts w:ascii="Times New Roman" w:hAnsi="Times New Roman" w:cs="Times New Roman"/>
                <w:sz w:val="24"/>
                <w:szCs w:val="24"/>
              </w:rPr>
              <w:t>kolonoskopijas</w:t>
            </w:r>
            <w:proofErr w:type="spellEnd"/>
            <w:r w:rsidR="00DD0EFB">
              <w:rPr>
                <w:rFonts w:ascii="Times New Roman" w:hAnsi="Times New Roman" w:cs="Times New Roman"/>
                <w:sz w:val="24"/>
                <w:szCs w:val="24"/>
              </w:rPr>
              <w:t xml:space="preserve"> veikšanai, </w:t>
            </w: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informē par </w:t>
            </w:r>
            <w:proofErr w:type="spellStart"/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kolonoskopijas</w:t>
            </w:r>
            <w:proofErr w:type="spellEnd"/>
            <w:r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 veikšanas nepieciešamību un </w:t>
            </w:r>
            <w:r w:rsidR="00DD0EFB">
              <w:rPr>
                <w:rFonts w:ascii="Times New Roman" w:hAnsi="Times New Roman" w:cs="Times New Roman"/>
                <w:sz w:val="24"/>
                <w:szCs w:val="24"/>
              </w:rPr>
              <w:t xml:space="preserve">par sagatavošanos </w:t>
            </w:r>
            <w:proofErr w:type="spellStart"/>
            <w:r w:rsidR="00DD0EFB">
              <w:rPr>
                <w:rFonts w:ascii="Times New Roman" w:hAnsi="Times New Roman" w:cs="Times New Roman"/>
                <w:sz w:val="24"/>
                <w:szCs w:val="24"/>
              </w:rPr>
              <w:t>kolonoskopijai</w:t>
            </w:r>
            <w:proofErr w:type="spellEnd"/>
          </w:p>
        </w:tc>
      </w:tr>
      <w:tr w:rsidR="001566DC" w:rsidRPr="004C7403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6DC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tests negatīvs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6DC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727151">
              <w:rPr>
                <w:rFonts w:ascii="Times New Roman" w:hAnsi="Times New Roman" w:cs="Times New Roman"/>
                <w:sz w:val="24"/>
                <w:szCs w:val="24"/>
              </w:rPr>
              <w:t>.1. Pacients tiek uzaicināts atkārtota testa veikšanai pēc gada</w:t>
            </w:r>
          </w:p>
        </w:tc>
      </w:tr>
    </w:tbl>
    <w:p w:rsidR="001566DC" w:rsidRDefault="001566DC" w:rsidP="001566DC">
      <w:pPr>
        <w:rPr>
          <w:rFonts w:ascii="Times New Roman" w:hAnsi="Times New Roman" w:cs="Times New Roman"/>
          <w:sz w:val="24"/>
          <w:szCs w:val="24"/>
        </w:rPr>
      </w:pPr>
    </w:p>
    <w:p w:rsidR="001566DC" w:rsidRDefault="001566DC" w:rsidP="001566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6DC" w:rsidRDefault="001566DC" w:rsidP="001566DC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3. Ārsts pacientu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kolonoskopijas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veikšanai,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veidlapu Nr. 027/u</w:t>
      </w:r>
      <w:r>
        <w:rPr>
          <w:rFonts w:ascii="Times New Roman" w:hAnsi="Times New Roman" w:cs="Times New Roman"/>
          <w:sz w:val="24"/>
          <w:szCs w:val="24"/>
        </w:rPr>
        <w:t xml:space="preserve">, veidlapas augšējā labajā stūrītī norāda atzīmi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”), veidlapā norāda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</w:t>
      </w:r>
      <w:r w:rsidR="00FF4B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F4BC9" w:rsidRPr="00FF4BC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Z03.118-Z03.121</w:t>
      </w:r>
      <w:r w:rsidR="00FF4B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510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C18-C21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E745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</w:t>
      </w:r>
      <w:bookmarkStart w:id="0" w:name="_GoBack"/>
      <w:bookmarkEnd w:id="0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1566DC" w:rsidRDefault="001566DC" w:rsidP="001566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Nosūtījuma uz tālākiem izmeklējumiem noformēšanas nosacījumi:</w:t>
      </w:r>
    </w:p>
    <w:p w:rsidR="001566DC" w:rsidRPr="008979E5" w:rsidRDefault="001566DC" w:rsidP="0015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66DC" w:rsidRPr="008979E5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4.1. pēc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kolonoskopijas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veikšanas ārsts pacientu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 ķirurga,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veidlapu Nr. 027/u</w:t>
      </w:r>
      <w:r>
        <w:rPr>
          <w:rFonts w:ascii="Times New Roman" w:hAnsi="Times New Roman" w:cs="Times New Roman"/>
          <w:sz w:val="24"/>
          <w:szCs w:val="24"/>
        </w:rPr>
        <w:t xml:space="preserve">, norādot informāciju par iepriekš veikto izmeklējumu rezultātiem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pamatdiagnozes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kodu: </w:t>
      </w:r>
      <w:r w:rsidRPr="00E51074">
        <w:rPr>
          <w:rFonts w:ascii="Times New Roman" w:hAnsi="Times New Roman" w:cs="Times New Roman"/>
          <w:b/>
          <w:sz w:val="24"/>
          <w:szCs w:val="24"/>
        </w:rPr>
        <w:t>C18-C21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blakusdiagnozi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1074">
        <w:rPr>
          <w:rFonts w:ascii="Times New Roman" w:hAnsi="Times New Roman" w:cs="Times New Roman"/>
          <w:b/>
          <w:sz w:val="24"/>
          <w:szCs w:val="24"/>
        </w:rPr>
        <w:t>Z03.118-Z03.121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pamatdiagnoze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1074">
        <w:rPr>
          <w:rFonts w:ascii="Times New Roman" w:hAnsi="Times New Roman" w:cs="Times New Roman"/>
          <w:b/>
          <w:sz w:val="24"/>
          <w:szCs w:val="24"/>
        </w:rPr>
        <w:t>Z03.118-Z03.121</w:t>
      </w:r>
      <w:r>
        <w:rPr>
          <w:rFonts w:ascii="Times New Roman" w:hAnsi="Times New Roman" w:cs="Times New Roman"/>
          <w:sz w:val="24"/>
          <w:szCs w:val="24"/>
        </w:rPr>
        <w:t xml:space="preserve"> (izmeklēšana iespējama resnās zarnas ļaundabīga audzēja dēļ), atbilstoši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1566DC" w:rsidRDefault="001566DC" w:rsidP="00156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</w:t>
      </w:r>
      <w:proofErr w:type="spellStart"/>
      <w:r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>kolonoskopijas</w:t>
      </w:r>
      <w:proofErr w:type="spellEnd"/>
      <w:r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veic dienesta mājas lapā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noteiktās ārstniecības iestādes.</w:t>
      </w:r>
    </w:p>
    <w:p w:rsidR="001566DC" w:rsidRPr="004C7403" w:rsidRDefault="001566DC" w:rsidP="00156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 Valsts apmaksātu ķirurga konsultāciju saistībā ar aizdomām par ļaundabīgu saslimšanu veic sekojošās ārstniecības iestādes: “SIA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VSIA “Paula Stradiņa klīniskā universitātes slimnīca”,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7F1ED6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:rsidR="001566DC" w:rsidRDefault="001566DC" w:rsidP="000B2BFC">
      <w:pPr>
        <w:rPr>
          <w:rFonts w:ascii="Times New Roman" w:hAnsi="Times New Roman" w:cs="Times New Roman"/>
          <w:b/>
          <w:sz w:val="28"/>
          <w:szCs w:val="28"/>
        </w:rPr>
      </w:pPr>
    </w:p>
    <w:p w:rsidR="000B2BFC" w:rsidRPr="001566DC" w:rsidRDefault="006917D2" w:rsidP="001566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Valsts organizētā</w:t>
      </w:r>
      <w:r w:rsidR="000B2BFC">
        <w:rPr>
          <w:rFonts w:ascii="Times New Roman" w:hAnsi="Times New Roman" w:cs="Times New Roman"/>
          <w:b/>
          <w:sz w:val="28"/>
          <w:szCs w:val="28"/>
        </w:rPr>
        <w:t xml:space="preserve"> zarnu</w:t>
      </w:r>
      <w:r>
        <w:rPr>
          <w:rFonts w:ascii="Times New Roman" w:hAnsi="Times New Roman" w:cs="Times New Roman"/>
          <w:b/>
          <w:sz w:val="28"/>
          <w:szCs w:val="28"/>
        </w:rPr>
        <w:t xml:space="preserve">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sniegšanas nosacījumi</w:t>
      </w:r>
      <w:r w:rsidR="00727151">
        <w:rPr>
          <w:rFonts w:ascii="Times New Roman" w:hAnsi="Times New Roman" w:cs="Times New Roman"/>
          <w:b/>
          <w:sz w:val="28"/>
          <w:szCs w:val="28"/>
        </w:rPr>
        <w:t xml:space="preserve"> no 2019.gada 1.oktobra līdz 2020.gada 31.martam</w:t>
      </w:r>
    </w:p>
    <w:p w:rsidR="001566DC" w:rsidRDefault="001566DC" w:rsidP="00A205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20585" w:rsidRDefault="00727151" w:rsidP="00A205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2019.gada 1.oktobra zarnu vēža </w:t>
      </w:r>
      <w:proofErr w:type="spellStart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pārbaude slēpto asiņu noteikšanai tiek veikta ar </w:t>
      </w:r>
      <w:proofErr w:type="spellStart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imūnķīmijas</w:t>
      </w:r>
      <w:proofErr w:type="spellEnd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metodi. Testa komplektu piegādi ģimenes ārstiem un testa veikšanu nodrošina </w:t>
      </w:r>
      <w:proofErr w:type="spellStart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SIA”Centrālā</w:t>
      </w:r>
      <w:proofErr w:type="spellEnd"/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laboratorija”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566DC" w:rsidRDefault="001566DC" w:rsidP="007271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27151" w:rsidRPr="00727151" w:rsidRDefault="00905E74" w:rsidP="007271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727151"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eikt testu pieprasījumu, norādot nepieciešamo testa komplektu skaitu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var:</w:t>
      </w:r>
    </w:p>
    <w:p w:rsidR="00727151" w:rsidRPr="00727151" w:rsidRDefault="00727151" w:rsidP="007271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pa tālruni 29904278;</w:t>
      </w:r>
    </w:p>
    <w:p w:rsidR="00727151" w:rsidRDefault="00727151" w:rsidP="007271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rakstot uz e-pastu </w:t>
      </w:r>
      <w:hyperlink r:id="rId6" w:history="1">
        <w:r w:rsidR="00905E74" w:rsidRPr="008E32E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fit@laboratorija.lv</w:t>
        </w:r>
      </w:hyperlink>
    </w:p>
    <w:p w:rsidR="001566DC" w:rsidRDefault="001566DC" w:rsidP="00905E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05E74" w:rsidRPr="00905E74" w:rsidRDefault="00905E74" w:rsidP="00905E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905E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esti vienā pieprasījumu reizē ģimenes ārstu praksei tiks piegādāti ne vairāk kā 10 % apmērā no praksē reģistrētās pacientu mērķa grupas (par konkrēto mērķa grupā ietilpstošo pacientu skaitu katrā ģimenes ārstu praksē informācija ir pieejama Centrālai laboratorijai). </w:t>
      </w:r>
    </w:p>
    <w:p w:rsidR="00905E74" w:rsidRDefault="00905E74" w:rsidP="00905E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Pr="00905E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testa komplektā esošā nosūtījuma ārstam ir jānorāda -  ģimenes ārsta prakses nosaukums, ģimenes ārsta prakses kods, kā arī ģimenes ārsta identifikators.</w:t>
      </w:r>
    </w:p>
    <w:p w:rsidR="00A20585" w:rsidRDefault="00A20585" w:rsidP="00A205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66DC" w:rsidRDefault="00905E74" w:rsidP="00A205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Pr="00905E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2019. gada 1. oktobra līdz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31. martam</w:t>
      </w:r>
      <w:r w:rsidRPr="00905E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noteikts testu nomaiņas pārejas periods, kas nozīmē, ka šajā laika periodā ģimenes ārsti var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izmantot gan slēpto asiņu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teststrāmeļu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testus, 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imūnķīmiskos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slēpto asiņu noteikšanas testus.</w:t>
      </w:r>
    </w:p>
    <w:p w:rsidR="001566DC" w:rsidRDefault="001566DC" w:rsidP="00A205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66DC" w:rsidRPr="001566DC" w:rsidRDefault="001566DC" w:rsidP="001566DC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Valsts organizētā zarnu vēža </w:t>
      </w:r>
      <w:proofErr w:type="spellStart"/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 w:rsidRPr="001566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apmaksas nosacījumi:</w:t>
      </w:r>
    </w:p>
    <w:tbl>
      <w:tblPr>
        <w:tblpPr w:leftFromText="180" w:rightFromText="180" w:vertAnchor="text" w:horzAnchor="page" w:tblpX="1839" w:tblpY="228"/>
        <w:tblW w:w="9493" w:type="dxa"/>
        <w:tblLook w:val="04A0" w:firstRow="1" w:lastRow="0" w:firstColumn="1" w:lastColumn="0" w:noHBand="0" w:noVBand="1"/>
      </w:tblPr>
      <w:tblGrid>
        <w:gridCol w:w="812"/>
        <w:gridCol w:w="1616"/>
        <w:gridCol w:w="1229"/>
        <w:gridCol w:w="5836"/>
      </w:tblGrid>
      <w:tr w:rsidR="000B2BFC" w:rsidRPr="000B2BFC" w:rsidTr="00727151">
        <w:trPr>
          <w:trHeight w:val="82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151" w:rsidRDefault="00727151" w:rsidP="000B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0B2BFC" w:rsidRPr="000B2BFC" w:rsidRDefault="009F200C" w:rsidP="000B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0B2BFC"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C" w:rsidRPr="000B2BFC" w:rsidRDefault="000B2BFC" w:rsidP="000B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Zarnu audzēju agrīnā diagnostika</w:t>
            </w:r>
          </w:p>
        </w:tc>
      </w:tr>
      <w:tr w:rsidR="00A20585" w:rsidRPr="000B2BFC" w:rsidTr="00727151">
        <w:trPr>
          <w:trHeight w:val="795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Slēpto asiņu tests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Z12.1.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40173 – apslēptās asinis ar </w:t>
            </w:r>
            <w:proofErr w:type="spellStart"/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teststrēmeli</w:t>
            </w:r>
            <w:proofErr w:type="spellEnd"/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ja izmeklējuma rezultāts ir negatīvs;</w:t>
            </w:r>
          </w:p>
        </w:tc>
      </w:tr>
      <w:tr w:rsidR="00A20585" w:rsidRPr="000B2BFC" w:rsidTr="00727151">
        <w:trPr>
          <w:trHeight w:val="690"/>
        </w:trPr>
        <w:tc>
          <w:tcPr>
            <w:tcW w:w="8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40172 – apslēptās asinis ar </w:t>
            </w:r>
            <w:proofErr w:type="spellStart"/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teststrēmeli</w:t>
            </w:r>
            <w:proofErr w:type="spellEnd"/>
            <w:r w:rsidRPr="000B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ja izmeklējuma rezultāts ir pozitīvs</w:t>
            </w:r>
          </w:p>
        </w:tc>
      </w:tr>
      <w:tr w:rsidR="00A20585" w:rsidRPr="000B2BFC" w:rsidTr="00E31BF2">
        <w:trPr>
          <w:trHeight w:val="690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85" w:rsidRPr="000B2BFC" w:rsidRDefault="00A20585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585" w:rsidRPr="000B2BFC" w:rsidRDefault="00727151" w:rsidP="00A2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60125 - </w:t>
            </w:r>
            <w:r w:rsidRPr="00727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I-</w:t>
            </w:r>
            <w:proofErr w:type="spellStart"/>
            <w:r w:rsidRPr="00727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Fobt</w:t>
            </w:r>
            <w:proofErr w:type="spellEnd"/>
            <w:r w:rsidRPr="00727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testa izsniegšana pacientam ģimenes ārsta praksē</w:t>
            </w:r>
          </w:p>
        </w:tc>
      </w:tr>
    </w:tbl>
    <w:p w:rsidR="006F0807" w:rsidRDefault="006F0807"/>
    <w:p w:rsidR="004C7403" w:rsidRPr="004C7403" w:rsidRDefault="009F200C" w:rsidP="004C7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7403">
        <w:rPr>
          <w:rFonts w:ascii="Times New Roman" w:hAnsi="Times New Roman" w:cs="Times New Roman"/>
          <w:sz w:val="24"/>
          <w:szCs w:val="24"/>
        </w:rPr>
        <w:t xml:space="preserve">. </w:t>
      </w:r>
      <w:r w:rsidR="004C7403" w:rsidRPr="004C7403">
        <w:rPr>
          <w:rFonts w:ascii="Times New Roman" w:hAnsi="Times New Roman" w:cs="Times New Roman"/>
          <w:sz w:val="24"/>
          <w:szCs w:val="24"/>
        </w:rPr>
        <w:t>Izmeklēšanas algoritms pēc slēpto asiņu testa rezultātu nolasīšanas fēču paraugā: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6"/>
        <w:gridCol w:w="6084"/>
      </w:tblGrid>
      <w:tr w:rsidR="004C7403" w:rsidRPr="004C7403" w:rsidTr="004C7403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403" w:rsidRPr="004C7403" w:rsidRDefault="004C7403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Testa rezultāts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403" w:rsidRPr="004C7403" w:rsidRDefault="004C7403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Turpmākie izmeklējumi</w:t>
            </w:r>
          </w:p>
        </w:tc>
      </w:tr>
      <w:tr w:rsidR="004C7403" w:rsidRPr="004C7403" w:rsidTr="004C7403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403" w:rsidRPr="004C7403" w:rsidRDefault="009F200C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403" w:rsidRPr="004C7403">
              <w:rPr>
                <w:rFonts w:ascii="Times New Roman" w:hAnsi="Times New Roman" w:cs="Times New Roman"/>
                <w:sz w:val="24"/>
                <w:szCs w:val="24"/>
              </w:rPr>
              <w:t>.1. Negatīvs</w:t>
            </w:r>
            <w:r w:rsidR="007E376E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 w:rsidR="007E376E">
              <w:rPr>
                <w:rFonts w:ascii="Times New Roman" w:hAnsi="Times New Roman" w:cs="Times New Roman"/>
                <w:sz w:val="24"/>
                <w:szCs w:val="24"/>
              </w:rPr>
              <w:t>teststrēmeli</w:t>
            </w:r>
            <w:proofErr w:type="spellEnd"/>
            <w:r w:rsidR="004C7403"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 (visi laukumiņi)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403" w:rsidRPr="004C7403" w:rsidRDefault="009F200C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403" w:rsidRPr="004C7403">
              <w:rPr>
                <w:rFonts w:ascii="Times New Roman" w:hAnsi="Times New Roman" w:cs="Times New Roman"/>
                <w:sz w:val="24"/>
                <w:szCs w:val="24"/>
              </w:rPr>
              <w:t>.1.1. Pacients tiek uzaicināts atkārtota testa veikšanai pēc gada</w:t>
            </w:r>
          </w:p>
        </w:tc>
      </w:tr>
      <w:tr w:rsidR="004C7403" w:rsidRPr="004C7403" w:rsidTr="004C7403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403" w:rsidRPr="004C7403" w:rsidRDefault="009F200C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403"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.2. Pozitīvs </w:t>
            </w:r>
            <w:r w:rsidR="007E376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 w:rsidR="007E376E">
              <w:rPr>
                <w:rFonts w:ascii="Times New Roman" w:hAnsi="Times New Roman" w:cs="Times New Roman"/>
                <w:sz w:val="24"/>
                <w:szCs w:val="24"/>
              </w:rPr>
              <w:t>teststrēmeli</w:t>
            </w:r>
            <w:proofErr w:type="spellEnd"/>
            <w:r w:rsidR="007E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403" w:rsidRPr="004C7403">
              <w:rPr>
                <w:rFonts w:ascii="Times New Roman" w:hAnsi="Times New Roman" w:cs="Times New Roman"/>
                <w:sz w:val="24"/>
                <w:szCs w:val="24"/>
              </w:rPr>
              <w:t>(vismaz viens laukumiņš)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403" w:rsidRPr="004C7403" w:rsidRDefault="009F200C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403"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.2.1. </w:t>
            </w:r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Pacientu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kolonoskopijas</w:t>
            </w:r>
            <w:proofErr w:type="spellEnd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 veikšanai, informē par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kolonoskopijas</w:t>
            </w:r>
            <w:proofErr w:type="spellEnd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 veikšanas nepieciešamību un par sagatavošanos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kolonoskopijai</w:t>
            </w:r>
            <w:proofErr w:type="spellEnd"/>
          </w:p>
        </w:tc>
      </w:tr>
      <w:tr w:rsidR="007E376E" w:rsidRPr="004C7403" w:rsidTr="004C7403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76E" w:rsidRDefault="007E376E" w:rsidP="0072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727151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="00727151">
              <w:rPr>
                <w:rFonts w:ascii="Times New Roman" w:hAnsi="Times New Roman" w:cs="Times New Roman"/>
                <w:sz w:val="24"/>
                <w:szCs w:val="24"/>
              </w:rPr>
              <w:t>Fobt</w:t>
            </w:r>
            <w:proofErr w:type="spellEnd"/>
            <w:r w:rsidR="00727151">
              <w:rPr>
                <w:rFonts w:ascii="Times New Roman" w:hAnsi="Times New Roman" w:cs="Times New Roman"/>
                <w:sz w:val="24"/>
                <w:szCs w:val="24"/>
              </w:rPr>
              <w:t xml:space="preserve"> tests pozitīvs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76E" w:rsidRDefault="007E376E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Pacientu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kolonoskopijas</w:t>
            </w:r>
            <w:proofErr w:type="spellEnd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 veikšanai, informē par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kolonoskopijas</w:t>
            </w:r>
            <w:proofErr w:type="spellEnd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 xml:space="preserve"> veikšanas nepieciešamību un par sagatavošanos </w:t>
            </w:r>
            <w:proofErr w:type="spellStart"/>
            <w:r w:rsidR="00DD0EFB" w:rsidRPr="00DD0EFB">
              <w:rPr>
                <w:rFonts w:ascii="Times New Roman" w:hAnsi="Times New Roman" w:cs="Times New Roman"/>
                <w:sz w:val="24"/>
                <w:szCs w:val="24"/>
              </w:rPr>
              <w:t>kolonoskopijai</w:t>
            </w:r>
            <w:proofErr w:type="spellEnd"/>
          </w:p>
        </w:tc>
      </w:tr>
      <w:tr w:rsidR="00727151" w:rsidRPr="004C7403" w:rsidTr="004C7403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151" w:rsidRDefault="00727151" w:rsidP="0072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tests negatīvs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151" w:rsidRDefault="00727151" w:rsidP="004C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727151">
              <w:rPr>
                <w:rFonts w:ascii="Times New Roman" w:hAnsi="Times New Roman" w:cs="Times New Roman"/>
                <w:sz w:val="24"/>
                <w:szCs w:val="24"/>
              </w:rPr>
              <w:t>.1. Pacients tiek uzaicināts atkārtota testa veikšanai pēc gada</w:t>
            </w:r>
          </w:p>
        </w:tc>
      </w:tr>
    </w:tbl>
    <w:p w:rsidR="004C7403" w:rsidRDefault="004C7403">
      <w:pPr>
        <w:rPr>
          <w:rFonts w:ascii="Times New Roman" w:hAnsi="Times New Roman" w:cs="Times New Roman"/>
          <w:sz w:val="24"/>
          <w:szCs w:val="24"/>
        </w:rPr>
      </w:pPr>
    </w:p>
    <w:p w:rsidR="007E376E" w:rsidRDefault="007E376E" w:rsidP="009F20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7D2" w:rsidRDefault="006917D2" w:rsidP="006917D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3. Ā</w:t>
      </w:r>
      <w:r w:rsidR="004C7403">
        <w:rPr>
          <w:rFonts w:ascii="Times New Roman" w:hAnsi="Times New Roman" w:cs="Times New Roman"/>
          <w:sz w:val="24"/>
          <w:szCs w:val="24"/>
        </w:rPr>
        <w:t xml:space="preserve">rsts pacientu </w:t>
      </w:r>
      <w:proofErr w:type="spellStart"/>
      <w:r w:rsidR="004C7403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4C7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403">
        <w:rPr>
          <w:rFonts w:ascii="Times New Roman" w:hAnsi="Times New Roman" w:cs="Times New Roman"/>
          <w:sz w:val="24"/>
          <w:szCs w:val="24"/>
        </w:rPr>
        <w:t>kolonoskopijas</w:t>
      </w:r>
      <w:proofErr w:type="spellEnd"/>
      <w:r w:rsidR="004C7403">
        <w:rPr>
          <w:rFonts w:ascii="Times New Roman" w:hAnsi="Times New Roman" w:cs="Times New Roman"/>
          <w:sz w:val="24"/>
          <w:szCs w:val="24"/>
        </w:rPr>
        <w:t xml:space="preserve"> veikšanai,</w:t>
      </w:r>
      <w:r w:rsidR="009F200C">
        <w:rPr>
          <w:rFonts w:ascii="Times New Roman" w:hAnsi="Times New Roman" w:cs="Times New Roman"/>
          <w:sz w:val="24"/>
          <w:szCs w:val="24"/>
        </w:rPr>
        <w:t xml:space="preserve"> </w:t>
      </w:r>
      <w:r w:rsidR="009F200C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veidlapu Nr. 027/u</w:t>
      </w:r>
      <w:r w:rsidR="007E376E">
        <w:rPr>
          <w:rFonts w:ascii="Times New Roman" w:hAnsi="Times New Roman" w:cs="Times New Roman"/>
          <w:sz w:val="24"/>
          <w:szCs w:val="24"/>
        </w:rPr>
        <w:t xml:space="preserve">, </w:t>
      </w:r>
      <w:r w:rsidR="00BE761F">
        <w:rPr>
          <w:rFonts w:ascii="Times New Roman" w:hAnsi="Times New Roman" w:cs="Times New Roman"/>
          <w:sz w:val="24"/>
          <w:szCs w:val="24"/>
        </w:rPr>
        <w:t>veidlapas augšējā labajā stūrītī norāda</w:t>
      </w:r>
      <w:r w:rsidR="007E376E">
        <w:rPr>
          <w:rFonts w:ascii="Times New Roman" w:hAnsi="Times New Roman" w:cs="Times New Roman"/>
          <w:sz w:val="24"/>
          <w:szCs w:val="24"/>
        </w:rPr>
        <w:t xml:space="preserve"> </w:t>
      </w:r>
      <w:r w:rsidR="00BE761F">
        <w:rPr>
          <w:rFonts w:ascii="Times New Roman" w:hAnsi="Times New Roman" w:cs="Times New Roman"/>
          <w:sz w:val="24"/>
          <w:szCs w:val="24"/>
        </w:rPr>
        <w:t xml:space="preserve">atzīmi </w:t>
      </w:r>
      <w:r w:rsidR="00BE76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grupa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7E376E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7E376E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7E376E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BE76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veidlapā norāda </w:t>
      </w:r>
      <w:proofErr w:type="spellStart"/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7E376E" w:rsidRPr="00E510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C18-C21</w:t>
      </w:r>
      <w:r w:rsidR="00BE76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BE761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blakusdiagnozi</w:t>
      </w:r>
      <w:proofErr w:type="spellEnd"/>
      <w:r w:rsidR="00E745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E745AE" w:rsidRPr="00E745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Z12.1</w:t>
      </w:r>
      <w:r w:rsidR="00E745A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E376E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6917D2" w:rsidRDefault="006917D2" w:rsidP="006917D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Nosūtījuma uz tālākiem izmeklējumiem noformēšanas nosacījumi:</w:t>
      </w:r>
    </w:p>
    <w:p w:rsidR="006917D2" w:rsidRPr="008979E5" w:rsidRDefault="006917D2" w:rsidP="00691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E376E" w:rsidRPr="008979E5" w:rsidRDefault="006917D2" w:rsidP="007E37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C66C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pēc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kolonoskopijas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veikšanas </w:t>
      </w:r>
      <w:r w:rsidR="007E376E">
        <w:rPr>
          <w:rFonts w:ascii="Times New Roman" w:hAnsi="Times New Roman" w:cs="Times New Roman"/>
          <w:sz w:val="24"/>
          <w:szCs w:val="24"/>
        </w:rPr>
        <w:t xml:space="preserve">ārsts pacientu </w:t>
      </w:r>
      <w:proofErr w:type="spellStart"/>
      <w:r w:rsidR="007E376E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7E376E">
        <w:rPr>
          <w:rFonts w:ascii="Times New Roman" w:hAnsi="Times New Roman" w:cs="Times New Roman"/>
          <w:sz w:val="24"/>
          <w:szCs w:val="24"/>
        </w:rPr>
        <w:t xml:space="preserve"> pie ķirurga, 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veidlapu Nr. 027/u</w:t>
      </w:r>
      <w:r w:rsidR="007E376E">
        <w:rPr>
          <w:rFonts w:ascii="Times New Roman" w:hAnsi="Times New Roman" w:cs="Times New Roman"/>
          <w:sz w:val="24"/>
          <w:szCs w:val="24"/>
        </w:rPr>
        <w:t xml:space="preserve">, norādot informāciju par iepriekš veikto izmeklējumu rezultātiem un </w:t>
      </w:r>
      <w:proofErr w:type="spellStart"/>
      <w:r w:rsidR="007E376E">
        <w:rPr>
          <w:rFonts w:ascii="Times New Roman" w:hAnsi="Times New Roman" w:cs="Times New Roman"/>
          <w:sz w:val="24"/>
          <w:szCs w:val="24"/>
        </w:rPr>
        <w:t>pamatdiagnozes</w:t>
      </w:r>
      <w:proofErr w:type="spellEnd"/>
      <w:r w:rsidR="007E376E">
        <w:rPr>
          <w:rFonts w:ascii="Times New Roman" w:hAnsi="Times New Roman" w:cs="Times New Roman"/>
          <w:sz w:val="24"/>
          <w:szCs w:val="24"/>
        </w:rPr>
        <w:t xml:space="preserve"> kodu: </w:t>
      </w:r>
      <w:r w:rsidR="007E376E" w:rsidRPr="00E51074">
        <w:rPr>
          <w:rFonts w:ascii="Times New Roman" w:hAnsi="Times New Roman" w:cs="Times New Roman"/>
          <w:b/>
          <w:sz w:val="24"/>
          <w:szCs w:val="24"/>
        </w:rPr>
        <w:t>C18-C21</w:t>
      </w:r>
      <w:r w:rsidR="00BE76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61F">
        <w:rPr>
          <w:rFonts w:ascii="Times New Roman" w:hAnsi="Times New Roman" w:cs="Times New Roman"/>
          <w:sz w:val="24"/>
          <w:szCs w:val="24"/>
        </w:rPr>
        <w:t>blakusdiagnozi</w:t>
      </w:r>
      <w:proofErr w:type="spellEnd"/>
      <w:r w:rsidR="007E376E">
        <w:rPr>
          <w:rFonts w:ascii="Times New Roman" w:hAnsi="Times New Roman" w:cs="Times New Roman"/>
          <w:sz w:val="24"/>
          <w:szCs w:val="24"/>
        </w:rPr>
        <w:t xml:space="preserve">: </w:t>
      </w:r>
      <w:r w:rsidR="007E376E" w:rsidRPr="00E51074">
        <w:rPr>
          <w:rFonts w:ascii="Times New Roman" w:hAnsi="Times New Roman" w:cs="Times New Roman"/>
          <w:b/>
          <w:sz w:val="24"/>
          <w:szCs w:val="24"/>
        </w:rPr>
        <w:t>Z03.118-Z03.121</w:t>
      </w:r>
      <w:r w:rsidR="007E37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E376E">
        <w:rPr>
          <w:rFonts w:ascii="Times New Roman" w:hAnsi="Times New Roman" w:cs="Times New Roman"/>
          <w:sz w:val="24"/>
          <w:szCs w:val="24"/>
        </w:rPr>
        <w:t>pamatdiagnoze</w:t>
      </w:r>
      <w:proofErr w:type="spellEnd"/>
      <w:r w:rsidR="007E376E">
        <w:rPr>
          <w:rFonts w:ascii="Times New Roman" w:hAnsi="Times New Roman" w:cs="Times New Roman"/>
          <w:sz w:val="24"/>
          <w:szCs w:val="24"/>
        </w:rPr>
        <w:t xml:space="preserve">: </w:t>
      </w:r>
      <w:r w:rsidR="007E376E" w:rsidRPr="00E51074">
        <w:rPr>
          <w:rFonts w:ascii="Times New Roman" w:hAnsi="Times New Roman" w:cs="Times New Roman"/>
          <w:b/>
          <w:sz w:val="24"/>
          <w:szCs w:val="24"/>
        </w:rPr>
        <w:t>Z03.118-Z03.121</w:t>
      </w:r>
      <w:r w:rsidR="00DD40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izmeklēšana iespējama resnās zarnas ļaundabīga audzēja dēļ</w:t>
      </w:r>
      <w:r w:rsidR="007E376E">
        <w:rPr>
          <w:rFonts w:ascii="Times New Roman" w:hAnsi="Times New Roman" w:cs="Times New Roman"/>
          <w:sz w:val="24"/>
          <w:szCs w:val="24"/>
        </w:rPr>
        <w:t xml:space="preserve">), atbilstoši </w:t>
      </w:r>
      <w:r w:rsidR="007E376E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Starptautiskajam slimību klasifikatoram (SSK-10</w:t>
      </w:r>
      <w:r w:rsidR="00E745AE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4C7403" w:rsidRDefault="006917D2" w:rsidP="009F2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C7403">
        <w:rPr>
          <w:rFonts w:ascii="Times New Roman" w:hAnsi="Times New Roman" w:cs="Times New Roman"/>
          <w:sz w:val="24"/>
          <w:szCs w:val="24"/>
        </w:rPr>
        <w:t xml:space="preserve">. </w:t>
      </w:r>
      <w:r w:rsidR="004C7403"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</w:t>
      </w:r>
      <w:proofErr w:type="spellStart"/>
      <w:r w:rsidR="004C7403"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="004C7403"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4C7403"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>kolonoskopijas</w:t>
      </w:r>
      <w:proofErr w:type="spellEnd"/>
      <w:r w:rsidR="004C7403" w:rsidRPr="004C7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veic dienesta mājas lapā 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noteiktās ārstniecības iestādes.</w:t>
      </w:r>
    </w:p>
    <w:p w:rsidR="007E376E" w:rsidRPr="004C7403" w:rsidRDefault="006917D2" w:rsidP="009F2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>. Valsts apmaksātu ķirurga konsultāciju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saistībā ar aizdomām par ļaundabīgu saslimšanu</w:t>
      </w:r>
      <w:r w:rsidR="007E3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veic sekojošās ārstniecības iestādes: “</w:t>
      </w:r>
      <w:r w:rsidR="00E51074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</w:t>
      </w:r>
      <w:r w:rsidR="00E51074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 w:rsidR="00E51074"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VSIA “Paula Stradiņa klīniskā universitātes slimnīca”, SIA “</w:t>
      </w:r>
      <w:r w:rsidR="00E51074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 w:rsidR="00E51074"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="00E51074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7F1ED6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:rsidR="004C7403" w:rsidRPr="004C7403" w:rsidRDefault="004C7403">
      <w:pPr>
        <w:rPr>
          <w:rFonts w:ascii="Times New Roman" w:hAnsi="Times New Roman" w:cs="Times New Roman"/>
          <w:sz w:val="24"/>
          <w:szCs w:val="24"/>
        </w:rPr>
      </w:pPr>
    </w:p>
    <w:sectPr w:rsidR="004C7403" w:rsidRPr="004C7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B9D"/>
    <w:multiLevelType w:val="hybridMultilevel"/>
    <w:tmpl w:val="F60E42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0B8"/>
    <w:multiLevelType w:val="hybridMultilevel"/>
    <w:tmpl w:val="A60A4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FC"/>
    <w:rsid w:val="000B2BFC"/>
    <w:rsid w:val="001566DC"/>
    <w:rsid w:val="00491EA5"/>
    <w:rsid w:val="004C7403"/>
    <w:rsid w:val="00650495"/>
    <w:rsid w:val="006917D2"/>
    <w:rsid w:val="006C08F0"/>
    <w:rsid w:val="006F0807"/>
    <w:rsid w:val="00727151"/>
    <w:rsid w:val="007E376E"/>
    <w:rsid w:val="007F1ED6"/>
    <w:rsid w:val="00905E74"/>
    <w:rsid w:val="009F200C"/>
    <w:rsid w:val="00A20585"/>
    <w:rsid w:val="00AF41D7"/>
    <w:rsid w:val="00BE761F"/>
    <w:rsid w:val="00C15284"/>
    <w:rsid w:val="00C66CEC"/>
    <w:rsid w:val="00DD0EFB"/>
    <w:rsid w:val="00DD405F"/>
    <w:rsid w:val="00E51074"/>
    <w:rsid w:val="00E745AE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E1055"/>
  <w15:chartTrackingRefBased/>
  <w15:docId w15:val="{7167370E-ADCD-478A-89D9-EA0D140E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@laboratorija.lv" TargetMode="External"/><Relationship Id="rId5" Type="http://schemas.openxmlformats.org/officeDocument/2006/relationships/hyperlink" Target="mailto:fit@laboratori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3980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3</cp:revision>
  <dcterms:created xsi:type="dcterms:W3CDTF">2020-03-09T08:38:00Z</dcterms:created>
  <dcterms:modified xsi:type="dcterms:W3CDTF">2020-03-09T13:44:00Z</dcterms:modified>
</cp:coreProperties>
</file>