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BF90473" w:rsidR="002C35F4" w:rsidRDefault="00B95AEB" w:rsidP="002C35F4">
      <w:pPr>
        <w:spacing w:after="0" w:line="240" w:lineRule="auto"/>
        <w:rPr>
          <w:b/>
          <w:bCs/>
        </w:rPr>
      </w:pPr>
      <w:r>
        <w:rPr>
          <w:b/>
          <w:bCs/>
        </w:rPr>
        <w:t>13.10</w:t>
      </w:r>
      <w:r w:rsidR="00052523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2222EF1" w14:textId="77777777" w:rsidR="00B95AEB" w:rsidRDefault="00B95AEB" w:rsidP="00CF744E">
      <w:pPr>
        <w:spacing w:after="0" w:line="240" w:lineRule="auto"/>
        <w:rPr>
          <w:rFonts w:cstheme="minorHAnsi"/>
        </w:rPr>
      </w:pPr>
      <w:r w:rsidRPr="00B95AEB">
        <w:rPr>
          <w:rFonts w:cstheme="minorHAnsi"/>
        </w:rPr>
        <w:t>Par   veiktiem uzlabojumiem  e-veselības vakcinācijas modulī</w:t>
      </w:r>
    </w:p>
    <w:p w14:paraId="29C6593D" w14:textId="77777777" w:rsidR="00B95AEB" w:rsidRDefault="00B95AEB" w:rsidP="00CF744E">
      <w:pPr>
        <w:spacing w:after="0" w:line="240" w:lineRule="auto"/>
        <w:rPr>
          <w:rFonts w:cstheme="minorHAnsi"/>
        </w:rPr>
      </w:pPr>
    </w:p>
    <w:p w14:paraId="4979EB97" w14:textId="646FA2D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29ED962" w14:textId="77777777" w:rsidR="00B95AEB" w:rsidRPr="00B95AEB" w:rsidRDefault="00B95AEB" w:rsidP="00B95AEB">
      <w:pPr>
        <w:rPr>
          <w:rFonts w:cstheme="minorHAnsi"/>
          <w:sz w:val="24"/>
          <w:szCs w:val="24"/>
        </w:rPr>
      </w:pPr>
      <w:r w:rsidRPr="00B95AEB">
        <w:rPr>
          <w:rFonts w:cstheme="minorHAnsi"/>
          <w:sz w:val="24"/>
          <w:szCs w:val="24"/>
        </w:rPr>
        <w:t>Nacionālais veselības dienests informē, ka veikti zemāk uzskaitītie pilnveidojumi e-veselībā:</w:t>
      </w:r>
    </w:p>
    <w:p w14:paraId="43064929" w14:textId="77777777" w:rsidR="00B95AEB" w:rsidRPr="00B95AEB" w:rsidRDefault="00B95AEB" w:rsidP="00B95AEB">
      <w:pPr>
        <w:pStyle w:val="ListParagraph"/>
        <w:numPr>
          <w:ilvl w:val="0"/>
          <w:numId w:val="2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Pieejams pacientu Risku saraksts.</w:t>
      </w:r>
    </w:p>
    <w:p w14:paraId="63318B73" w14:textId="77777777" w:rsidR="00B95AEB" w:rsidRPr="00B95AEB" w:rsidRDefault="00B95AEB" w:rsidP="00B95AEB">
      <w:pPr>
        <w:pStyle w:val="ListParagraph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 xml:space="preserve">Veikti uzlabojumi vakcinācijas fakta aizpildīšanā, ja kā maksātājs norādīts </w:t>
      </w:r>
      <w:r w:rsidRPr="00B95AEB">
        <w:rPr>
          <w:rFonts w:asciiTheme="minorHAnsi" w:eastAsia="Times New Roman" w:hAnsiTheme="minorHAnsi" w:cstheme="minorHAnsi"/>
          <w:b/>
          <w:bCs/>
          <w:sz w:val="24"/>
          <w:szCs w:val="24"/>
        </w:rPr>
        <w:t>VALSTS.</w:t>
      </w:r>
    </w:p>
    <w:p w14:paraId="7EBFA7A5" w14:textId="77777777" w:rsidR="00B95AEB" w:rsidRPr="00B95AEB" w:rsidRDefault="00B95AEB" w:rsidP="00B95AEB">
      <w:pPr>
        <w:pStyle w:val="ListParagraph"/>
        <w:numPr>
          <w:ilvl w:val="1"/>
          <w:numId w:val="2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Vakcinācijas faktā vairāk informācija ir aizpildāma no klasifikatoriem;</w:t>
      </w:r>
    </w:p>
    <w:p w14:paraId="198F6239" w14:textId="77777777" w:rsidR="00B95AEB" w:rsidRPr="00B95AEB" w:rsidRDefault="00B95AEB" w:rsidP="00B95AEB">
      <w:pPr>
        <w:pStyle w:val="ListParagraph"/>
        <w:numPr>
          <w:ilvl w:val="1"/>
          <w:numId w:val="2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 xml:space="preserve">Pieejamas konkrētai vakcīnai valstī pieejamās vakcīnu sērijas; </w:t>
      </w:r>
    </w:p>
    <w:p w14:paraId="2CB7F329" w14:textId="77777777" w:rsidR="00B95AEB" w:rsidRPr="00B95AEB" w:rsidRDefault="00B95AEB" w:rsidP="00B95AEB">
      <w:pPr>
        <w:pStyle w:val="ListParagraph"/>
        <w:numPr>
          <w:ilvl w:val="1"/>
          <w:numId w:val="2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Izvēlnēs pie noteiktiem laukiem ir pieejamas konkrētai vakcīnai atbilstošās vērtības.</w:t>
      </w:r>
    </w:p>
    <w:p w14:paraId="27F82631" w14:textId="77777777" w:rsidR="00B95AEB" w:rsidRPr="00B95AEB" w:rsidRDefault="00B95AEB" w:rsidP="00B95AEB">
      <w:pPr>
        <w:pStyle w:val="ListParagraph"/>
        <w:numPr>
          <w:ilvl w:val="0"/>
          <w:numId w:val="2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Pievienoti jauni lauki vakcinācijas faktam:</w:t>
      </w:r>
    </w:p>
    <w:p w14:paraId="75DDE569" w14:textId="77777777" w:rsidR="00B95AEB" w:rsidRPr="00B95AEB" w:rsidRDefault="00B95AEB" w:rsidP="00B95AEB">
      <w:pPr>
        <w:pStyle w:val="ListParagraph"/>
        <w:numPr>
          <w:ilvl w:val="1"/>
          <w:numId w:val="2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Vakcinācijas vieta (izvēlne – vakcinācijas kabinets, pacienta dzīvesvieta, SAC u.t.t), lauks aizpildīts ar noklusēto vērtību “kabinets ĀI”, vērtību var mainīt;</w:t>
      </w:r>
    </w:p>
    <w:p w14:paraId="5CB6F583" w14:textId="77777777" w:rsidR="00B95AEB" w:rsidRPr="00B95AEB" w:rsidRDefault="00B95AEB" w:rsidP="00B95AEB">
      <w:pPr>
        <w:pStyle w:val="ListParagraph"/>
        <w:numPr>
          <w:ilvl w:val="1"/>
          <w:numId w:val="2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Informācija par ārstniecības iestādes filiāli, lauks aizpildās ar noklusēto vērtību, ko ir iespējams mainīt pēc vajadzības;</w:t>
      </w:r>
    </w:p>
    <w:p w14:paraId="71F592E8" w14:textId="77777777" w:rsidR="00B95AEB" w:rsidRPr="00B95AEB" w:rsidRDefault="00B95AEB" w:rsidP="00B95AEB">
      <w:pPr>
        <w:pStyle w:val="ListParagraph"/>
        <w:numPr>
          <w:ilvl w:val="1"/>
          <w:numId w:val="2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Ja ārstniecības iestādei ir viena adrese, tad filiāles un ārstniecības iestādes adrese sakrīt;</w:t>
      </w:r>
    </w:p>
    <w:p w14:paraId="7511B2D5" w14:textId="77777777" w:rsidR="00B95AEB" w:rsidRPr="00B95AEB" w:rsidRDefault="00B95AEB" w:rsidP="00B95AEB">
      <w:pPr>
        <w:pStyle w:val="ListParagraph"/>
        <w:numPr>
          <w:ilvl w:val="1"/>
          <w:numId w:val="23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Analoģiski ārstniecības filiālē ir darbības ar Vakcinācijas punktu;</w:t>
      </w:r>
    </w:p>
    <w:p w14:paraId="43068C97" w14:textId="77777777" w:rsidR="00B95AEB" w:rsidRPr="00B95AEB" w:rsidRDefault="00B95AEB" w:rsidP="00B95AEB">
      <w:pPr>
        <w:pStyle w:val="ListParagraph"/>
        <w:numPr>
          <w:ilvl w:val="1"/>
          <w:numId w:val="23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 xml:space="preserve">Ārstniecības persona, kas pieņēma lēmumu par vakcināciju, dati tiek aizpildīti automātiski; </w:t>
      </w:r>
    </w:p>
    <w:p w14:paraId="6D4C5664" w14:textId="77777777" w:rsidR="00B95AEB" w:rsidRPr="00B95AEB" w:rsidRDefault="00B95AEB" w:rsidP="00B95AEB">
      <w:pPr>
        <w:pStyle w:val="ListParagraph"/>
        <w:numPr>
          <w:ilvl w:val="1"/>
          <w:numId w:val="23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Ārstniecības persona, kas veica vakcināciju, no ārstniecības personas datiem, kas ir autorizējusies sistēmā un tos var mainīt.</w:t>
      </w:r>
    </w:p>
    <w:p w14:paraId="249B3CDB" w14:textId="77777777" w:rsidR="00B95AEB" w:rsidRPr="00B95AEB" w:rsidRDefault="00B95AEB" w:rsidP="00B95AEB">
      <w:pPr>
        <w:pStyle w:val="ListParagraph"/>
        <w:numPr>
          <w:ilvl w:val="0"/>
          <w:numId w:val="23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Izveidots pārskatāmāks potēšanas žurnāls.</w:t>
      </w:r>
    </w:p>
    <w:p w14:paraId="727A6137" w14:textId="77777777" w:rsidR="00B95AEB" w:rsidRPr="00B95AEB" w:rsidRDefault="00B95AEB" w:rsidP="00B95AEB">
      <w:pPr>
        <w:pStyle w:val="ListParagraph"/>
        <w:numPr>
          <w:ilvl w:val="0"/>
          <w:numId w:val="23"/>
        </w:numPr>
        <w:rPr>
          <w:rFonts w:asciiTheme="minorHAnsi" w:eastAsia="Times New Roman" w:hAnsiTheme="minorHAnsi" w:cstheme="minorHAnsi"/>
          <w:color w:val="000000"/>
          <w:sz w:val="24"/>
          <w:szCs w:val="24"/>
          <w:lang w:eastAsia="lv-LV"/>
        </w:rPr>
      </w:pPr>
      <w:r w:rsidRPr="00B95AEB">
        <w:rPr>
          <w:rFonts w:asciiTheme="minorHAnsi" w:eastAsia="Times New Roman" w:hAnsiTheme="minorHAnsi" w:cstheme="minorHAnsi"/>
          <w:sz w:val="24"/>
          <w:szCs w:val="24"/>
        </w:rPr>
        <w:t>Ir iespējams reģistrēt personas atteikumu no vakcinācijas.</w:t>
      </w:r>
    </w:p>
    <w:p w14:paraId="5BF07C01" w14:textId="77777777" w:rsidR="00B95AEB" w:rsidRPr="00B95AEB" w:rsidRDefault="00B95AEB" w:rsidP="00B95AEB">
      <w:pPr>
        <w:pStyle w:val="ListParagraph"/>
        <w:rPr>
          <w:rFonts w:asciiTheme="minorHAnsi" w:hAnsiTheme="minorHAnsi" w:cstheme="minorHAnsi"/>
          <w:color w:val="000000"/>
          <w:sz w:val="24"/>
          <w:szCs w:val="24"/>
          <w:lang w:eastAsia="lv-LV"/>
        </w:rPr>
      </w:pPr>
    </w:p>
    <w:p w14:paraId="33D22A79" w14:textId="77777777" w:rsidR="00B95AEB" w:rsidRPr="00B95AEB" w:rsidRDefault="00B95AEB" w:rsidP="00B95AEB">
      <w:pPr>
        <w:rPr>
          <w:rFonts w:cstheme="minorHAnsi"/>
          <w:color w:val="000000"/>
          <w:sz w:val="24"/>
          <w:szCs w:val="24"/>
          <w:lang w:eastAsia="lv-LV"/>
        </w:rPr>
      </w:pPr>
      <w:r w:rsidRPr="00B95AEB">
        <w:rPr>
          <w:rFonts w:cstheme="minorHAnsi"/>
          <w:color w:val="000000"/>
          <w:sz w:val="24"/>
          <w:szCs w:val="24"/>
          <w:lang w:eastAsia="lv-LV"/>
        </w:rPr>
        <w:t>Pievienots ekrāna attēls no e-veselības ar Gripas vakcinācijas fakta aizpildītiem laukiem.</w:t>
      </w:r>
    </w:p>
    <w:p w14:paraId="20B44451" w14:textId="77777777" w:rsidR="00B95AEB" w:rsidRDefault="00B95AEB" w:rsidP="00B95AEB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3EADA188" w14:textId="7EF877EA" w:rsidR="00B95AEB" w:rsidRDefault="00B95AEB" w:rsidP="00B9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D3DBA9" wp14:editId="427433EA">
            <wp:extent cx="4724400" cy="6233160"/>
            <wp:effectExtent l="0" t="0" r="0" b="1524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23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AA89" w14:textId="77777777" w:rsidR="00B95AEB" w:rsidRDefault="00B95AEB" w:rsidP="00B95AEB">
      <w:pPr>
        <w:rPr>
          <w:rFonts w:ascii="Times New Roman" w:hAnsi="Times New Roman" w:cs="Times New Roman"/>
          <w:sz w:val="24"/>
          <w:szCs w:val="24"/>
        </w:rPr>
      </w:pPr>
    </w:p>
    <w:p w14:paraId="644C7F14" w14:textId="532FB8DD" w:rsidR="0030758B" w:rsidRPr="006A5526" w:rsidRDefault="0030758B" w:rsidP="002215B2">
      <w:pPr>
        <w:jc w:val="both"/>
        <w:rPr>
          <w:rFonts w:cstheme="minorHAnsi"/>
          <w:b/>
          <w:bCs/>
        </w:rPr>
      </w:pPr>
    </w:p>
    <w:sectPr w:rsidR="0030758B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1"/>
  </w:num>
  <w:num w:numId="2" w16cid:durableId="861018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2"/>
  </w:num>
  <w:num w:numId="4" w16cid:durableId="1635259919">
    <w:abstractNumId w:val="19"/>
  </w:num>
  <w:num w:numId="5" w16cid:durableId="1657148472">
    <w:abstractNumId w:val="16"/>
  </w:num>
  <w:num w:numId="6" w16cid:durableId="1106003344">
    <w:abstractNumId w:val="10"/>
  </w:num>
  <w:num w:numId="7" w16cid:durableId="375082792">
    <w:abstractNumId w:val="15"/>
  </w:num>
  <w:num w:numId="8" w16cid:durableId="1798452046">
    <w:abstractNumId w:val="5"/>
  </w:num>
  <w:num w:numId="9" w16cid:durableId="1326278971">
    <w:abstractNumId w:val="20"/>
  </w:num>
  <w:num w:numId="10" w16cid:durableId="1244604513">
    <w:abstractNumId w:val="17"/>
  </w:num>
  <w:num w:numId="11" w16cid:durableId="174618294">
    <w:abstractNumId w:val="1"/>
  </w:num>
  <w:num w:numId="12" w16cid:durableId="14476998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7"/>
  </w:num>
  <w:num w:numId="17" w16cid:durableId="1079059332">
    <w:abstractNumId w:val="14"/>
  </w:num>
  <w:num w:numId="18" w16cid:durableId="1466317037">
    <w:abstractNumId w:val="9"/>
  </w:num>
  <w:num w:numId="19" w16cid:durableId="1294941619">
    <w:abstractNumId w:val="12"/>
  </w:num>
  <w:num w:numId="20" w16cid:durableId="348720614">
    <w:abstractNumId w:val="8"/>
  </w:num>
  <w:num w:numId="21" w16cid:durableId="1340541331">
    <w:abstractNumId w:val="11"/>
  </w:num>
  <w:num w:numId="22" w16cid:durableId="2119063125">
    <w:abstractNumId w:val="0"/>
  </w:num>
  <w:num w:numId="23" w16cid:durableId="15249721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215B2"/>
    <w:rsid w:val="002C35F4"/>
    <w:rsid w:val="00304706"/>
    <w:rsid w:val="0030758B"/>
    <w:rsid w:val="00327A80"/>
    <w:rsid w:val="00330428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95B0E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AEB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8DF09.A5CC29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2022-10-25T11:33:00Z</dcterms:created>
  <dcterms:modified xsi:type="dcterms:W3CDTF">2022-10-25T11:33:00Z</dcterms:modified>
</cp:coreProperties>
</file>