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0552" w14:textId="017A847A" w:rsidR="00552A0A" w:rsidRPr="00552A0A" w:rsidRDefault="00C32D9D" w:rsidP="00552A0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</w:t>
      </w:r>
      <w:r w:rsidR="00552A0A" w:rsidRPr="00552A0A">
        <w:rPr>
          <w:rFonts w:ascii="Times New Roman" w:hAnsi="Times New Roman"/>
          <w:i/>
          <w:sz w:val="24"/>
          <w:szCs w:val="24"/>
        </w:rPr>
        <w:t>.pielikums</w:t>
      </w:r>
    </w:p>
    <w:p w14:paraId="14E4EF23" w14:textId="77777777" w:rsidR="00CB3485" w:rsidRDefault="00552A0A" w:rsidP="00936ED0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552A0A">
        <w:rPr>
          <w:rFonts w:ascii="Times New Roman" w:hAnsi="Times New Roman"/>
          <w:i/>
          <w:sz w:val="24"/>
          <w:szCs w:val="24"/>
        </w:rPr>
        <w:t xml:space="preserve">līgumam par </w:t>
      </w:r>
      <w:r w:rsidR="003B77E2">
        <w:rPr>
          <w:rFonts w:ascii="Times New Roman" w:hAnsi="Times New Roman"/>
          <w:i/>
          <w:sz w:val="24"/>
          <w:szCs w:val="24"/>
        </w:rPr>
        <w:t xml:space="preserve">sekundārās veselības aprūpes </w:t>
      </w:r>
    </w:p>
    <w:p w14:paraId="2C8ECD1C" w14:textId="212B4AE5" w:rsidR="00552A0A" w:rsidRPr="00552A0A" w:rsidRDefault="003B77E2" w:rsidP="00936ED0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pakalpojuma – grūtnieču aprūpe</w:t>
      </w:r>
      <w:r w:rsidR="00552A0A" w:rsidRPr="00552A0A">
        <w:rPr>
          <w:rFonts w:ascii="Times New Roman" w:hAnsi="Times New Roman"/>
          <w:i/>
          <w:sz w:val="24"/>
          <w:szCs w:val="24"/>
        </w:rPr>
        <w:t xml:space="preserve"> sniegšanu un apmaksu</w:t>
      </w:r>
    </w:p>
    <w:p w14:paraId="14405E77" w14:textId="77777777" w:rsidR="00552A0A" w:rsidRPr="00552A0A" w:rsidRDefault="00552A0A" w:rsidP="00552A0A">
      <w:pPr>
        <w:spacing w:after="0" w:line="240" w:lineRule="auto"/>
        <w:ind w:left="426" w:hanging="42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35B7AC7" w14:textId="04509B29" w:rsidR="00552A0A" w:rsidRPr="00552A0A" w:rsidRDefault="00214233" w:rsidP="00552A0A">
      <w:pPr>
        <w:spacing w:after="0" w:line="240" w:lineRule="auto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 metodikas par Eiropas Komisijas 2011. gada 20.decembra lēmuma Nr. 2012/21/ES noteikto prasību ievērošanu un kontroli</w:t>
      </w:r>
    </w:p>
    <w:p w14:paraId="1DDA543D" w14:textId="77777777" w:rsidR="00552A0A" w:rsidRDefault="00552A0A" w:rsidP="00EE1B9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CD0097C" w14:textId="77777777" w:rsidR="00552A0A" w:rsidRDefault="00552A0A" w:rsidP="00EE1B9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C511270" w14:textId="037A1627" w:rsidR="002214E2" w:rsidRDefault="002214E2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 xml:space="preserve">DIENESTS piešķir IZPILDĪTĀJAM īpašas tiesības sniegt valsts apmaksātos veselības aprūpes pakalpojumus Latvijas Republikas teritorijā Līguma </w:t>
      </w:r>
      <w:r w:rsidR="002406EC">
        <w:rPr>
          <w:sz w:val="24"/>
          <w:szCs w:val="24"/>
        </w:rPr>
        <w:t>1</w:t>
      </w:r>
      <w:r w:rsidRPr="009211A1">
        <w:rPr>
          <w:sz w:val="24"/>
          <w:szCs w:val="24"/>
        </w:rPr>
        <w:t>.pielikumā norādītajā pakalpojuma sniegšanas adresē.</w:t>
      </w:r>
    </w:p>
    <w:p w14:paraId="53D997C0" w14:textId="77777777" w:rsidR="002214E2" w:rsidRPr="009211A1" w:rsidRDefault="002214E2" w:rsidP="009211A1">
      <w:pPr>
        <w:pStyle w:val="ListParagraph"/>
        <w:jc w:val="both"/>
        <w:rPr>
          <w:sz w:val="24"/>
          <w:szCs w:val="24"/>
        </w:rPr>
      </w:pPr>
    </w:p>
    <w:p w14:paraId="40931C4E" w14:textId="67684147" w:rsidR="002214E2" w:rsidRPr="009211A1" w:rsidRDefault="002214E2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>IZPILDĪTĀJS, apņemas visā Līguma darbības laikā nodrošināt Ministru kabineta 2018.gada 28.augusta noteikumu Nr.555 “Veselības aprūpes pakalpojumu organizēšanas un samaksas kārtība” 8.punktā noteikto nosacījumu izpildi.</w:t>
      </w:r>
    </w:p>
    <w:p w14:paraId="080349BE" w14:textId="77777777" w:rsidR="002214E2" w:rsidRDefault="002214E2" w:rsidP="009211A1">
      <w:pPr>
        <w:pStyle w:val="ListParagraph"/>
        <w:jc w:val="both"/>
        <w:rPr>
          <w:sz w:val="24"/>
          <w:szCs w:val="24"/>
        </w:rPr>
      </w:pPr>
    </w:p>
    <w:p w14:paraId="32219910" w14:textId="2F4E76E7" w:rsidR="006361FE" w:rsidRPr="009211A1" w:rsidRDefault="006361FE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 xml:space="preserve">IZPILDĪTĀJAM Līguma izpildē, tajā skaitā – dokumentu, pārskatu sastādīšanā un nosūtīšanā, jāievēro </w:t>
      </w:r>
      <w:r w:rsidR="00F269FC" w:rsidRPr="002214E2">
        <w:rPr>
          <w:rStyle w:val="Strong"/>
          <w:b w:val="0"/>
          <w:bCs w:val="0"/>
          <w:sz w:val="24"/>
          <w:szCs w:val="24"/>
        </w:rPr>
        <w:t>m</w:t>
      </w:r>
      <w:r w:rsidRPr="002214E2">
        <w:rPr>
          <w:rStyle w:val="Strong"/>
          <w:b w:val="0"/>
          <w:bCs w:val="0"/>
          <w:sz w:val="24"/>
          <w:szCs w:val="24"/>
        </w:rPr>
        <w:t>etodik</w:t>
      </w:r>
      <w:r w:rsidR="00F269FC" w:rsidRPr="002214E2">
        <w:rPr>
          <w:rStyle w:val="Strong"/>
          <w:b w:val="0"/>
          <w:bCs w:val="0"/>
          <w:sz w:val="24"/>
          <w:szCs w:val="24"/>
        </w:rPr>
        <w:t>u</w:t>
      </w:r>
      <w:r w:rsidRPr="002214E2">
        <w:rPr>
          <w:rStyle w:val="Strong"/>
          <w:b w:val="0"/>
          <w:bCs w:val="0"/>
          <w:sz w:val="24"/>
          <w:szCs w:val="24"/>
        </w:rPr>
        <w:t xml:space="preserve"> par </w:t>
      </w:r>
      <w:r w:rsidRPr="009211A1">
        <w:rPr>
          <w:sz w:val="24"/>
          <w:szCs w:val="24"/>
        </w:rPr>
        <w:t xml:space="preserve">Eiropas Komisijas </w:t>
      </w:r>
      <w:r w:rsidRPr="009211A1">
        <w:rPr>
          <w:sz w:val="24"/>
          <w:szCs w:val="24"/>
          <w:shd w:val="clear" w:color="auto" w:fill="FFFFFF"/>
        </w:rPr>
        <w:t xml:space="preserve">2011.gada 20.decembra </w:t>
      </w:r>
      <w:r w:rsidRPr="009211A1">
        <w:rPr>
          <w:sz w:val="24"/>
          <w:szCs w:val="24"/>
        </w:rPr>
        <w:t xml:space="preserve">lēmumā Nr.2012/21/ES “ </w:t>
      </w:r>
      <w:r w:rsidRPr="009211A1">
        <w:rPr>
          <w:i/>
          <w:sz w:val="24"/>
          <w:szCs w:val="24"/>
        </w:rPr>
        <w:t>Par Līguma par Eiropas Savienības darbību 106. panta 2. punkta piemērošanu valsts atbalstam attiecībā uz kompensāciju par sabiedriskajiem pakalpojumiem dažiem uzņēmumiem, kuriem uzticēts sniegt pakalpojumus ar vispārēju tautsaimniecisku nozīmi</w:t>
      </w:r>
      <w:r w:rsidRPr="009211A1">
        <w:rPr>
          <w:sz w:val="24"/>
          <w:szCs w:val="24"/>
        </w:rPr>
        <w:t>” noteikto prasību ievērošanu un kontroli, nodrošinot vienlīdzīgu pieeju  visiem finansējuma saņēmējiem (turpmāk - Metodika)</w:t>
      </w:r>
      <w:r w:rsidRPr="002214E2">
        <w:rPr>
          <w:rStyle w:val="Strong"/>
          <w:b w:val="0"/>
          <w:bCs w:val="0"/>
          <w:sz w:val="24"/>
          <w:szCs w:val="24"/>
        </w:rPr>
        <w:t xml:space="preserve">, </w:t>
      </w:r>
      <w:r w:rsidR="00A01CB3" w:rsidRPr="002214E2">
        <w:rPr>
          <w:rStyle w:val="Strong"/>
          <w:b w:val="0"/>
          <w:bCs w:val="0"/>
          <w:sz w:val="24"/>
          <w:szCs w:val="24"/>
        </w:rPr>
        <w:t>kas ir pieejama</w:t>
      </w:r>
      <w:r w:rsidR="00A01CB3" w:rsidRPr="009211A1">
        <w:rPr>
          <w:sz w:val="24"/>
          <w:szCs w:val="24"/>
        </w:rPr>
        <w:t xml:space="preserve"> DIENESTA tīmekļvietnē </w:t>
      </w:r>
      <w:hyperlink r:id="rId6" w:history="1">
        <w:r w:rsidR="00A01CB3" w:rsidRPr="002214E2">
          <w:rPr>
            <w:rStyle w:val="Hyperlink"/>
            <w:sz w:val="24"/>
            <w:szCs w:val="24"/>
          </w:rPr>
          <w:t>www.vmnvd.gov.lv</w:t>
        </w:r>
      </w:hyperlink>
      <w:r w:rsidR="00A01CB3" w:rsidRPr="009211A1">
        <w:rPr>
          <w:sz w:val="24"/>
          <w:szCs w:val="24"/>
        </w:rPr>
        <w:t xml:space="preserve"> sadaļā „Profesionāļiem”, „Līgumu </w:t>
      </w:r>
      <w:r w:rsidR="00F25193">
        <w:rPr>
          <w:sz w:val="24"/>
          <w:szCs w:val="24"/>
        </w:rPr>
        <w:t>dokumenti</w:t>
      </w:r>
      <w:r w:rsidR="00A01CB3" w:rsidRPr="009211A1">
        <w:rPr>
          <w:sz w:val="24"/>
          <w:szCs w:val="24"/>
        </w:rPr>
        <w:t xml:space="preserve">” </w:t>
      </w:r>
      <w:proofErr w:type="spellStart"/>
      <w:r w:rsidR="00A01CB3" w:rsidRPr="009211A1">
        <w:rPr>
          <w:sz w:val="24"/>
          <w:szCs w:val="24"/>
        </w:rPr>
        <w:t>apakšsadaļā</w:t>
      </w:r>
      <w:bookmarkStart w:id="0" w:name="_Hlk110786973"/>
      <w:proofErr w:type="spellEnd"/>
      <w:r w:rsidR="00594F64" w:rsidRPr="009211A1">
        <w:rPr>
          <w:sz w:val="24"/>
          <w:szCs w:val="24"/>
        </w:rPr>
        <w:t xml:space="preserve"> </w:t>
      </w:r>
      <w:r w:rsidR="00A01CB3" w:rsidRPr="009211A1">
        <w:rPr>
          <w:sz w:val="24"/>
          <w:szCs w:val="24"/>
        </w:rPr>
        <w:t>„</w:t>
      </w:r>
      <w:r w:rsidR="00B91055">
        <w:rPr>
          <w:sz w:val="24"/>
          <w:szCs w:val="24"/>
        </w:rPr>
        <w:t>Grūtnieču aprūpes</w:t>
      </w:r>
      <w:r w:rsidR="00A01CB3" w:rsidRPr="009211A1">
        <w:rPr>
          <w:sz w:val="24"/>
          <w:szCs w:val="24"/>
        </w:rPr>
        <w:t xml:space="preserve"> līguma paraugs”</w:t>
      </w:r>
      <w:bookmarkEnd w:id="0"/>
      <w:r w:rsidR="00A01CB3" w:rsidRPr="009211A1">
        <w:rPr>
          <w:sz w:val="24"/>
          <w:szCs w:val="24"/>
        </w:rPr>
        <w:t>. S</w:t>
      </w:r>
      <w:r w:rsidR="00FB5FFE" w:rsidRPr="009211A1">
        <w:rPr>
          <w:sz w:val="24"/>
          <w:szCs w:val="24"/>
        </w:rPr>
        <w:t xml:space="preserve">askaņā ar </w:t>
      </w:r>
      <w:r w:rsidR="00A01CB3" w:rsidRPr="009211A1">
        <w:rPr>
          <w:sz w:val="24"/>
          <w:szCs w:val="24"/>
        </w:rPr>
        <w:t>Metodiku</w:t>
      </w:r>
      <w:r w:rsidR="00FB5FFE" w:rsidRPr="009211A1">
        <w:rPr>
          <w:sz w:val="24"/>
          <w:szCs w:val="24"/>
        </w:rPr>
        <w:t xml:space="preserve"> IZPILDĪTĀJS ir uzskatāms par Valsts atbalsta saņēmēju. </w:t>
      </w:r>
    </w:p>
    <w:p w14:paraId="3907D812" w14:textId="77777777" w:rsidR="00EE1B9F" w:rsidRDefault="00EE1B9F" w:rsidP="00EE1B9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F9EA4DE" w14:textId="2906B953" w:rsidR="006361FE" w:rsidRPr="006D00AE" w:rsidRDefault="00A01CB3" w:rsidP="003D48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6361FE">
        <w:rPr>
          <w:rFonts w:ascii="Times New Roman" w:eastAsia="Times New Roman" w:hAnsi="Times New Roman"/>
          <w:sz w:val="24"/>
          <w:szCs w:val="24"/>
        </w:rPr>
        <w:t xml:space="preserve">. 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Dienests ir tiesīgs </w:t>
      </w:r>
      <w:r w:rsidR="00C91A96" w:rsidRPr="006D00AE">
        <w:rPr>
          <w:rFonts w:ascii="Times New Roman" w:eastAsia="Times New Roman" w:hAnsi="Times New Roman"/>
          <w:sz w:val="24"/>
          <w:szCs w:val="24"/>
        </w:rPr>
        <w:t xml:space="preserve">vienpersoniski 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>grozīt</w:t>
      </w:r>
      <w:r w:rsidR="006361FE">
        <w:rPr>
          <w:rFonts w:ascii="Times New Roman" w:eastAsia="Times New Roman" w:hAnsi="Times New Roman"/>
          <w:sz w:val="24"/>
          <w:szCs w:val="24"/>
        </w:rPr>
        <w:t xml:space="preserve"> un papildināt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</w:t>
      </w:r>
      <w:r w:rsidR="0072129E">
        <w:rPr>
          <w:rFonts w:ascii="Times New Roman" w:eastAsia="Times New Roman" w:hAnsi="Times New Roman"/>
          <w:sz w:val="24"/>
          <w:szCs w:val="24"/>
        </w:rPr>
        <w:t>Metodiku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>. Ja tiek grozīt</w:t>
      </w:r>
      <w:r w:rsidR="0072129E">
        <w:rPr>
          <w:rFonts w:ascii="Times New Roman" w:eastAsia="Times New Roman" w:hAnsi="Times New Roman"/>
          <w:sz w:val="24"/>
          <w:szCs w:val="24"/>
        </w:rPr>
        <w:t>a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</w:t>
      </w:r>
      <w:r w:rsidR="0072129E">
        <w:rPr>
          <w:rFonts w:ascii="Times New Roman" w:eastAsia="Times New Roman" w:hAnsi="Times New Roman"/>
          <w:sz w:val="24"/>
          <w:szCs w:val="24"/>
        </w:rPr>
        <w:t>Metodika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, DIENESTS savā tīmekļvietnē </w:t>
      </w:r>
      <w:r>
        <w:rPr>
          <w:rFonts w:ascii="Times New Roman" w:eastAsia="Times New Roman" w:hAnsi="Times New Roman"/>
          <w:sz w:val="24"/>
          <w:szCs w:val="24"/>
        </w:rPr>
        <w:t>Metodikas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grozījumiem pievieno norādi par datumu, kad attiecīgie grozījumi veikti un stājušies spēkā. Informāciju par </w:t>
      </w:r>
      <w:r>
        <w:rPr>
          <w:rFonts w:ascii="Times New Roman" w:eastAsia="Times New Roman" w:hAnsi="Times New Roman"/>
          <w:sz w:val="24"/>
          <w:szCs w:val="24"/>
        </w:rPr>
        <w:t>Metodikas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grozījumiem DIENESTS savlaicīgi </w:t>
      </w:r>
      <w:proofErr w:type="spellStart"/>
      <w:r w:rsidR="006361FE" w:rsidRPr="006D00AE">
        <w:rPr>
          <w:rFonts w:ascii="Times New Roman" w:eastAsia="Times New Roman" w:hAnsi="Times New Roman"/>
          <w:sz w:val="24"/>
          <w:szCs w:val="24"/>
        </w:rPr>
        <w:t>nosūta</w:t>
      </w:r>
      <w:proofErr w:type="spellEnd"/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uz IZPILDĪTĀJA </w:t>
      </w:r>
      <w:r w:rsidR="00F25193">
        <w:rPr>
          <w:rFonts w:ascii="Times New Roman" w:eastAsia="Times New Roman" w:hAnsi="Times New Roman"/>
          <w:sz w:val="24"/>
          <w:szCs w:val="24"/>
        </w:rPr>
        <w:t>līgumā norādīto e-pastu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790B4A4" w14:textId="0F1DFEE6" w:rsidR="00F269FC" w:rsidRPr="00176B10" w:rsidRDefault="00F269FC" w:rsidP="003D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C7A4C" w14:textId="292165A9" w:rsidR="006361FE" w:rsidRDefault="00C26CC4" w:rsidP="003D48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11100086"/>
      <w:r>
        <w:rPr>
          <w:rFonts w:ascii="Times New Roman" w:eastAsia="Times New Roman" w:hAnsi="Times New Roman"/>
          <w:sz w:val="24"/>
          <w:szCs w:val="24"/>
        </w:rPr>
        <w:t xml:space="preserve">5. 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>IZPILDĪTĀJS</w:t>
      </w:r>
      <w:r w:rsidRPr="006E662E">
        <w:rPr>
          <w:rFonts w:ascii="Times New Roman" w:eastAsia="Times New Roman" w:hAnsi="Times New Roman"/>
          <w:sz w:val="24"/>
          <w:szCs w:val="24"/>
        </w:rPr>
        <w:t>,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ievērojot Metodiku</w:t>
      </w:r>
      <w:r w:rsidRPr="006E662E">
        <w:rPr>
          <w:rFonts w:ascii="Times New Roman" w:eastAsia="Times New Roman" w:hAnsi="Times New Roman"/>
          <w:sz w:val="24"/>
          <w:szCs w:val="24"/>
        </w:rPr>
        <w:t>,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hAnsi="Times New Roman"/>
          <w:sz w:val="24"/>
          <w:szCs w:val="24"/>
        </w:rPr>
        <w:t>līdz kārtējā gada 31.maijam par iepriekšējā pārskata rezultātiem</w:t>
      </w:r>
      <w:r w:rsidR="006361FE" w:rsidRPr="006E662E" w:rsidDel="006361FE">
        <w:rPr>
          <w:rFonts w:ascii="Times New Roman" w:eastAsia="Times New Roman" w:hAnsi="Times New Roman"/>
          <w:sz w:val="24"/>
          <w:szCs w:val="24"/>
        </w:rPr>
        <w:t xml:space="preserve"> 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>atbilstoši Līguma noteikumiem aizpilda un iesniedz DIENESTĀ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pārskatu par budžeta līdzekļu izlietojumu ārsta praksē </w:t>
      </w:r>
      <w:r w:rsidR="006361FE" w:rsidRPr="006E662E">
        <w:rPr>
          <w:rFonts w:ascii="Times New Roman" w:hAnsi="Times New Roman"/>
          <w:sz w:val="24"/>
          <w:szCs w:val="24"/>
        </w:rPr>
        <w:t xml:space="preserve">vai pārskatu par budžeta līdzekļu izlietojumu ārstniecības iestādē,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kuru veidlapas ir pieejamas DIENESTA tīmekļvietnes </w:t>
      </w:r>
      <w:hyperlink r:id="rId7" w:history="1">
        <w:r w:rsidR="006361FE" w:rsidRPr="006E662E">
          <w:rPr>
            <w:rStyle w:val="Hyperlink"/>
            <w:rFonts w:ascii="Times New Roman" w:eastAsia="Times New Roman" w:hAnsi="Times New Roman"/>
            <w:sz w:val="24"/>
            <w:szCs w:val="24"/>
          </w:rPr>
          <w:t>www.vmnvd.gov.lv</w:t>
        </w:r>
      </w:hyperlink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sadaļā „Profesionāļiem” </w:t>
      </w:r>
      <w:proofErr w:type="spellStart"/>
      <w:r w:rsidR="006361FE" w:rsidRPr="006E662E">
        <w:rPr>
          <w:rFonts w:ascii="Times New Roman" w:eastAsia="Times New Roman" w:hAnsi="Times New Roman"/>
          <w:sz w:val="24"/>
          <w:szCs w:val="24"/>
        </w:rPr>
        <w:t>apakšsadaļā</w:t>
      </w:r>
      <w:proofErr w:type="spellEnd"/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„Līgumu</w:t>
      </w:r>
      <w:r w:rsidR="00F25193">
        <w:rPr>
          <w:rFonts w:ascii="Times New Roman" w:eastAsia="Times New Roman" w:hAnsi="Times New Roman"/>
          <w:sz w:val="24"/>
          <w:szCs w:val="24"/>
        </w:rPr>
        <w:t xml:space="preserve"> dokumenti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”, „</w:t>
      </w:r>
      <w:r w:rsidR="000C24B4">
        <w:rPr>
          <w:rFonts w:ascii="Times New Roman" w:eastAsia="Times New Roman" w:hAnsi="Times New Roman"/>
          <w:sz w:val="24"/>
          <w:szCs w:val="24"/>
        </w:rPr>
        <w:t>Grūtnieču aprūpes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līguma paraugs”</w:t>
      </w:r>
      <w:r w:rsidR="006361FE" w:rsidRPr="006E662E">
        <w:rPr>
          <w:rFonts w:ascii="Times New Roman" w:hAnsi="Times New Roman"/>
          <w:sz w:val="24"/>
          <w:szCs w:val="24"/>
        </w:rPr>
        <w:t>,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nosūtot pārskatu uz DIENESTA </w:t>
      </w:r>
      <w:r w:rsidR="00F25193">
        <w:rPr>
          <w:rFonts w:ascii="Times New Roman" w:eastAsia="Times New Roman" w:hAnsi="Times New Roman"/>
          <w:sz w:val="24"/>
          <w:szCs w:val="24"/>
        </w:rPr>
        <w:t>līgumā norādīto e-pastu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.</w:t>
      </w:r>
    </w:p>
    <w:p w14:paraId="61D14719" w14:textId="77777777" w:rsidR="00C26CC4" w:rsidRPr="006D00AE" w:rsidRDefault="00C26CC4" w:rsidP="006361FE">
      <w:pPr>
        <w:spacing w:after="0" w:line="24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</w:p>
    <w:p w14:paraId="1C77E3DB" w14:textId="17194097" w:rsidR="00EE1B9F" w:rsidRPr="007C3E32" w:rsidRDefault="00C26CC4" w:rsidP="003D485A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bookmarkEnd w:id="1"/>
      <w:r w:rsidR="00EE1B9F" w:rsidRPr="007C3E32">
        <w:rPr>
          <w:sz w:val="24"/>
          <w:szCs w:val="24"/>
        </w:rPr>
        <w:t xml:space="preserve">DIENESTAM ir tiesības netraucēti veikt pārbaudi IZPILDĪTĀJA telpās valsts apmaksāto pakalpojumu sniegšanas, pamatotības un pieejamības izvērtēšanai, </w:t>
      </w:r>
      <w:bookmarkStart w:id="2" w:name="_Hlk110423549"/>
      <w:r w:rsidR="00EE1B9F" w:rsidRPr="00A667D5">
        <w:rPr>
          <w:sz w:val="24"/>
          <w:szCs w:val="24"/>
        </w:rPr>
        <w:t>P</w:t>
      </w:r>
      <w:r w:rsidR="00EE1B9F" w:rsidRPr="007C3E32">
        <w:rPr>
          <w:sz w:val="24"/>
          <w:szCs w:val="24"/>
        </w:rPr>
        <w:t>ārmērīgas kompensācijas</w:t>
      </w:r>
      <w:r w:rsidR="00EE1B9F" w:rsidRPr="00A667D5">
        <w:rPr>
          <w:sz w:val="24"/>
          <w:szCs w:val="24"/>
        </w:rPr>
        <w:t xml:space="preserve"> (terminu skat. </w:t>
      </w:r>
      <w:r>
        <w:rPr>
          <w:sz w:val="24"/>
          <w:szCs w:val="24"/>
        </w:rPr>
        <w:t>Metodikā</w:t>
      </w:r>
      <w:r w:rsidR="00EE1B9F" w:rsidRPr="00A667D5">
        <w:rPr>
          <w:sz w:val="24"/>
          <w:szCs w:val="24"/>
        </w:rPr>
        <w:t>)</w:t>
      </w:r>
      <w:r w:rsidR="00EE1B9F" w:rsidRPr="007C3E32">
        <w:rPr>
          <w:sz w:val="24"/>
          <w:szCs w:val="24"/>
        </w:rPr>
        <w:t xml:space="preserve"> gadījumā grāmatvedības uzskaites dokumentācij</w:t>
      </w:r>
      <w:bookmarkEnd w:id="2"/>
      <w:r w:rsidR="00EE1B9F">
        <w:rPr>
          <w:sz w:val="24"/>
          <w:szCs w:val="24"/>
        </w:rPr>
        <w:t>as izvērtēšanai</w:t>
      </w:r>
      <w:r w:rsidR="00EE1B9F" w:rsidRPr="007C3E32">
        <w:rPr>
          <w:sz w:val="24"/>
          <w:szCs w:val="24"/>
        </w:rPr>
        <w:t xml:space="preserve"> un IZPILDĪTĀJAM ir pienākums nodrošināt pārbaudes veikšanai atbilstošu vietu. DIENESTS vismaz piecas darba dienas pirms plānveida pārbaudes veikšanas vienojās ar IZPILDĪTĀJU par abpusēji pieņemamu pārbaudes laiku. </w:t>
      </w:r>
    </w:p>
    <w:p w14:paraId="3BFB93DE" w14:textId="77777777" w:rsidR="00EE1B9F" w:rsidRDefault="00EE1B9F" w:rsidP="00EE1B9F">
      <w:pPr>
        <w:pStyle w:val="ListParagraph"/>
        <w:ind w:left="0"/>
        <w:jc w:val="both"/>
        <w:rPr>
          <w:sz w:val="24"/>
          <w:szCs w:val="24"/>
        </w:rPr>
      </w:pPr>
    </w:p>
    <w:p w14:paraId="7D1FA1BD" w14:textId="247BE53A" w:rsidR="00F269FC" w:rsidRDefault="00EE1B9F" w:rsidP="003D485A">
      <w:pPr>
        <w:pStyle w:val="ListParagraph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3D485A">
        <w:rPr>
          <w:sz w:val="24"/>
          <w:szCs w:val="24"/>
        </w:rPr>
        <w:t xml:space="preserve">Ja DIENESTS pēc IZPILDĪTĀJA iesniegtā pārskata par budžeta līdzekļu izlietojumu ārsta praksē vai pārskata par budžeta līdzekļu izlietojumu ārstniecības </w:t>
      </w:r>
      <w:r w:rsidRPr="003D485A">
        <w:rPr>
          <w:sz w:val="24"/>
          <w:szCs w:val="24"/>
        </w:rPr>
        <w:lastRenderedPageBreak/>
        <w:t xml:space="preserve">iestādē konstatē Pārmērīgu kompensāciju, DIENESTS rīkojās atbilstoši </w:t>
      </w:r>
      <w:r w:rsidR="00F269FC">
        <w:rPr>
          <w:sz w:val="24"/>
          <w:szCs w:val="24"/>
        </w:rPr>
        <w:t>M</w:t>
      </w:r>
      <w:r w:rsidRPr="003D485A">
        <w:rPr>
          <w:sz w:val="24"/>
          <w:szCs w:val="24"/>
        </w:rPr>
        <w:t>etodikas 4.sadaļai un Komercdarbības atbalsta kontroles likuma 19. panta otrajai daļai.</w:t>
      </w:r>
    </w:p>
    <w:p w14:paraId="016A17DD" w14:textId="77777777" w:rsidR="00F269FC" w:rsidRPr="003D485A" w:rsidRDefault="00F269FC" w:rsidP="003D485A">
      <w:pPr>
        <w:pStyle w:val="ListParagraph"/>
        <w:ind w:left="0"/>
        <w:jc w:val="both"/>
        <w:rPr>
          <w:sz w:val="24"/>
          <w:szCs w:val="24"/>
        </w:rPr>
      </w:pPr>
    </w:p>
    <w:p w14:paraId="663960D3" w14:textId="77777777" w:rsidR="00EE1B9F" w:rsidRDefault="00EE1B9F"/>
    <w:sectPr w:rsidR="00EE1B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B30"/>
    <w:multiLevelType w:val="hybridMultilevel"/>
    <w:tmpl w:val="32D8F0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1C43"/>
    <w:multiLevelType w:val="hybridMultilevel"/>
    <w:tmpl w:val="ADFE6A2E"/>
    <w:lvl w:ilvl="0" w:tplc="C5E8EDD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F0BC9"/>
    <w:multiLevelType w:val="hybridMultilevel"/>
    <w:tmpl w:val="1C763638"/>
    <w:lvl w:ilvl="0" w:tplc="74F0C1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A111A"/>
    <w:multiLevelType w:val="hybridMultilevel"/>
    <w:tmpl w:val="D5D878AA"/>
    <w:lvl w:ilvl="0" w:tplc="215C52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91CE1"/>
    <w:multiLevelType w:val="hybridMultilevel"/>
    <w:tmpl w:val="3A8C8D7C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6581">
    <w:abstractNumId w:val="2"/>
  </w:num>
  <w:num w:numId="2" w16cid:durableId="669988647">
    <w:abstractNumId w:val="4"/>
  </w:num>
  <w:num w:numId="3" w16cid:durableId="62918897">
    <w:abstractNumId w:val="3"/>
  </w:num>
  <w:num w:numId="4" w16cid:durableId="1161431878">
    <w:abstractNumId w:val="1"/>
  </w:num>
  <w:num w:numId="5" w16cid:durableId="28057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88"/>
    <w:rsid w:val="000C24B4"/>
    <w:rsid w:val="000D10B7"/>
    <w:rsid w:val="00120A4C"/>
    <w:rsid w:val="001608A0"/>
    <w:rsid w:val="001F1153"/>
    <w:rsid w:val="00214233"/>
    <w:rsid w:val="002214E2"/>
    <w:rsid w:val="00237C03"/>
    <w:rsid w:val="002406EC"/>
    <w:rsid w:val="002478FE"/>
    <w:rsid w:val="002C1BE8"/>
    <w:rsid w:val="00313A7F"/>
    <w:rsid w:val="003B61DA"/>
    <w:rsid w:val="003B77E2"/>
    <w:rsid w:val="003D485A"/>
    <w:rsid w:val="003F2919"/>
    <w:rsid w:val="004E4122"/>
    <w:rsid w:val="00552A0A"/>
    <w:rsid w:val="00594F64"/>
    <w:rsid w:val="005A0C12"/>
    <w:rsid w:val="005B5AEE"/>
    <w:rsid w:val="005E2921"/>
    <w:rsid w:val="0063610A"/>
    <w:rsid w:val="006361FE"/>
    <w:rsid w:val="00674FD8"/>
    <w:rsid w:val="006E662E"/>
    <w:rsid w:val="007048E8"/>
    <w:rsid w:val="0072129E"/>
    <w:rsid w:val="00721443"/>
    <w:rsid w:val="007520D3"/>
    <w:rsid w:val="00785488"/>
    <w:rsid w:val="007B326E"/>
    <w:rsid w:val="007C138E"/>
    <w:rsid w:val="007D5744"/>
    <w:rsid w:val="00863325"/>
    <w:rsid w:val="009211A1"/>
    <w:rsid w:val="00936ED0"/>
    <w:rsid w:val="00944BB4"/>
    <w:rsid w:val="00986857"/>
    <w:rsid w:val="00A01CB3"/>
    <w:rsid w:val="00A53871"/>
    <w:rsid w:val="00AE6E7E"/>
    <w:rsid w:val="00B91055"/>
    <w:rsid w:val="00C26CC4"/>
    <w:rsid w:val="00C32D9D"/>
    <w:rsid w:val="00C91A96"/>
    <w:rsid w:val="00CB3485"/>
    <w:rsid w:val="00CE42B0"/>
    <w:rsid w:val="00EE1B9F"/>
    <w:rsid w:val="00F25193"/>
    <w:rsid w:val="00F262CE"/>
    <w:rsid w:val="00F269FC"/>
    <w:rsid w:val="00FB5FFE"/>
    <w:rsid w:val="00FD3F17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CCA3E"/>
  <w15:chartTrackingRefBased/>
  <w15:docId w15:val="{F6E6BF00-B934-4579-9DA6-22BE7C0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1B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E1B9F"/>
    <w:rPr>
      <w:b/>
      <w:bCs/>
    </w:rPr>
  </w:style>
  <w:style w:type="character" w:styleId="Hyperlink">
    <w:name w:val="Hyperlink"/>
    <w:uiPriority w:val="99"/>
    <w:unhideWhenUsed/>
    <w:rsid w:val="00EE1B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E1B9F"/>
    <w:pPr>
      <w:suppressAutoHyphens w:val="0"/>
      <w:autoSpaceDN/>
      <w:spacing w:after="0" w:line="240" w:lineRule="auto"/>
      <w:ind w:left="720"/>
      <w:textAlignment w:val="auto"/>
    </w:pPr>
    <w:rPr>
      <w:rFonts w:ascii="Times New Roman" w:eastAsia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A5387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6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9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9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mnvd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mnvd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3F7D-88D1-49CD-9793-9F00284C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1982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Ziemele</dc:creator>
  <cp:keywords/>
  <dc:description/>
  <cp:lastModifiedBy>Anna Ziemele</cp:lastModifiedBy>
  <cp:revision>11</cp:revision>
  <dcterms:created xsi:type="dcterms:W3CDTF">2022-12-08T09:40:00Z</dcterms:created>
  <dcterms:modified xsi:type="dcterms:W3CDTF">2022-12-13T09:52:00Z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c8c74f7acfdfc130594c3cbbc1bed696f5eed8be6dd003dc4e087730f3a2d2bd</vt:lpwstr>
  </property>
</Properties>
</file>