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BDE63A0" w:rsidR="002C35F4" w:rsidRDefault="00CA4FC6" w:rsidP="002C35F4">
      <w:pPr>
        <w:spacing w:after="0" w:line="240" w:lineRule="auto"/>
        <w:rPr>
          <w:b/>
          <w:bCs/>
        </w:rPr>
      </w:pPr>
      <w:r>
        <w:rPr>
          <w:b/>
          <w:bCs/>
        </w:rPr>
        <w:t>30.12.2022</w:t>
      </w:r>
      <w:r w:rsidR="003C445E">
        <w:rPr>
          <w:b/>
          <w:bCs/>
        </w:rPr>
        <w:t>.</w:t>
      </w:r>
      <w:r>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75A8C4B" w14:textId="4B9266A1" w:rsidR="00CA4FC6" w:rsidRDefault="00CA4FC6" w:rsidP="00CF744E">
      <w:pPr>
        <w:spacing w:after="0" w:line="240" w:lineRule="auto"/>
        <w:rPr>
          <w:rStyle w:val="xcontentpasted0"/>
          <w:color w:val="000000"/>
          <w:bdr w:val="none" w:sz="0" w:space="0" w:color="auto" w:frame="1"/>
        </w:rPr>
      </w:pPr>
      <w:r w:rsidRPr="00CA4FC6">
        <w:rPr>
          <w:rStyle w:val="xcontentpasted0"/>
          <w:color w:val="000000"/>
          <w:bdr w:val="none" w:sz="0" w:space="0" w:color="auto" w:frame="1"/>
        </w:rPr>
        <w:t>Par aktualizēto manipulāciju sarakstu no 01.01.2023.</w:t>
      </w:r>
    </w:p>
    <w:p w14:paraId="4A78101F" w14:textId="77777777" w:rsidR="00CA4FC6" w:rsidRPr="005C1D24" w:rsidRDefault="00CA4FC6"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00ABAE9" w14:textId="77777777" w:rsidR="00CA4FC6" w:rsidRPr="00CA4FC6" w:rsidRDefault="00CA4FC6" w:rsidP="00CA4FC6">
      <w:pPr>
        <w:pStyle w:val="NormalWeb"/>
        <w:spacing w:before="120" w:beforeAutospacing="0" w:after="0" w:afterAutospacing="0"/>
        <w:ind w:firstLine="720"/>
        <w:jc w:val="both"/>
        <w:rPr>
          <w:rFonts w:asciiTheme="minorHAnsi" w:hAnsiTheme="minorHAnsi" w:cstheme="minorHAnsi"/>
          <w:noProof/>
        </w:rPr>
      </w:pPr>
      <w:r w:rsidRPr="00CA4FC6">
        <w:rPr>
          <w:rFonts w:asciiTheme="minorHAnsi" w:hAnsiTheme="minorHAnsi" w:cstheme="minorHAnsi"/>
          <w:noProof/>
        </w:rPr>
        <w:t xml:space="preserve">Nacionālais veselības dienests (turpmāk – Dienests) informē, ka ir veikta manipulāciju saraksta pārskatīšana un grozījumu sagatavošana. Dienests skaidro, ka saskaņā ar Ministru kabineta 2018. gada 28. augusta noteikumu Nr.555 “Veselības aprūpes pakalpojumu organizēšanas un samaksas kārtība” (turpmāk – Noteikumu) 2.14. punktu Dienests sagatavo manipulāciju sarakstu, ko saskaņā ar Noteikumu Nr.555 154.7.punktu pēc pārskatīšanas Dienestam ir jāsaskaņo ar Veselības ministriju, lai pēc tam sarakstu publicētu Dienesta tīmekļa vietnē. Savukārt, līgumos par primārās veselības aprūpes pakalpojumu sniegšanu un apmaksu noteikts, ka Dienesta pienākums ir informēt līgumpartnerus par izmaiņām manipulāciju sarakstā, lai līgumpartneri šo informāciju ņemtu vērā līgumu izpildē. </w:t>
      </w:r>
    </w:p>
    <w:p w14:paraId="06B12C27" w14:textId="77777777" w:rsidR="00CA4FC6" w:rsidRPr="00CA4FC6" w:rsidRDefault="00CA4FC6" w:rsidP="00CA4FC6">
      <w:pPr>
        <w:widowControl w:val="0"/>
        <w:autoSpaceDE w:val="0"/>
        <w:autoSpaceDN w:val="0"/>
        <w:adjustRightInd w:val="0"/>
        <w:spacing w:after="0" w:line="240" w:lineRule="auto"/>
        <w:ind w:left="17" w:firstLine="567"/>
        <w:contextualSpacing/>
        <w:jc w:val="both"/>
        <w:rPr>
          <w:rFonts w:eastAsia="Calibri" w:cstheme="minorHAnsi"/>
          <w:color w:val="000000"/>
        </w:rPr>
      </w:pPr>
      <w:r w:rsidRPr="00CA4FC6">
        <w:rPr>
          <w:rFonts w:eastAsia="Calibri" w:cstheme="minorHAnsi"/>
          <w:color w:val="000000"/>
          <w:shd w:val="clear" w:color="auto" w:fill="FFFFFF"/>
        </w:rPr>
        <w:t xml:space="preserve">Dienests informē, ka ar 01.01.2023.g. tiks veiktas izmaiņas manipulāciju sarakstā. </w:t>
      </w:r>
      <w:r w:rsidRPr="00CA4FC6">
        <w:rPr>
          <w:rFonts w:eastAsia="Calibri" w:cstheme="minorHAnsi"/>
          <w:color w:val="000000"/>
        </w:rPr>
        <w:t xml:space="preserve">Aktualizētā manipulāciju saraksta versija tiks publicēta Dienesta tīmekļvietnes </w:t>
      </w:r>
      <w:hyperlink r:id="rId7" w:history="1">
        <w:r w:rsidRPr="00CA4FC6">
          <w:rPr>
            <w:rFonts w:eastAsia="Calibri" w:cstheme="minorHAnsi"/>
            <w:color w:val="0000FF"/>
            <w:u w:val="single"/>
          </w:rPr>
          <w:t>www.vmnvd.gov.lv</w:t>
        </w:r>
      </w:hyperlink>
      <w:r w:rsidRPr="00CA4FC6">
        <w:rPr>
          <w:rFonts w:eastAsia="Calibri" w:cstheme="minorHAnsi"/>
          <w:color w:val="000000"/>
        </w:rPr>
        <w:t xml:space="preserve"> sadaļā “Profesionāļiem” – “Pakalpojumu tarifi”, kā arī šajā tīmekļvietnes sadaļā ir pieejamas vēsturiskās manipulāciju saraksta versijas un informācija par visām veiktajām izmaiņām – failā “Manipulāciju saraksta izmaiņu reģistrs”. </w:t>
      </w:r>
    </w:p>
    <w:p w14:paraId="55F78DC9" w14:textId="77777777" w:rsidR="00CA4FC6" w:rsidRPr="00CA4FC6" w:rsidRDefault="00CA4FC6" w:rsidP="00CA4FC6">
      <w:pPr>
        <w:widowControl w:val="0"/>
        <w:autoSpaceDE w:val="0"/>
        <w:autoSpaceDN w:val="0"/>
        <w:adjustRightInd w:val="0"/>
        <w:spacing w:after="0" w:line="240" w:lineRule="auto"/>
        <w:ind w:left="17" w:firstLine="567"/>
        <w:contextualSpacing/>
        <w:jc w:val="both"/>
        <w:rPr>
          <w:rFonts w:eastAsia="Calibri" w:cstheme="minorHAnsi"/>
          <w:color w:val="000000"/>
        </w:rPr>
      </w:pPr>
      <w:r w:rsidRPr="00CA4FC6">
        <w:rPr>
          <w:rFonts w:eastAsia="Calibri" w:cstheme="minorHAnsi"/>
          <w:color w:val="000000"/>
        </w:rPr>
        <w:t>Papildus Dienests informē, ka ar 01.01.2023.g. tīmekļvietnē būs pieejams .</w:t>
      </w:r>
      <w:proofErr w:type="spellStart"/>
      <w:r w:rsidRPr="00CA4FC6">
        <w:rPr>
          <w:rFonts w:eastAsia="Calibri" w:cstheme="minorHAnsi"/>
          <w:color w:val="000000"/>
        </w:rPr>
        <w:t>doc</w:t>
      </w:r>
      <w:proofErr w:type="spellEnd"/>
      <w:r w:rsidRPr="00CA4FC6">
        <w:rPr>
          <w:rFonts w:eastAsia="Calibri" w:cstheme="minorHAnsi"/>
          <w:color w:val="000000"/>
        </w:rPr>
        <w:t xml:space="preserve"> faila “Manipulāciju saraksta izmaiņu reģistrs” arhīvs līdz 31.12.2022.g. Savukārt, aktuālā versija, kura stāsies spēkā no 01.01.2023.g., būs pieejama </w:t>
      </w:r>
      <w:r w:rsidRPr="00CA4FC6">
        <w:rPr>
          <w:rFonts w:eastAsia="Calibri" w:cstheme="minorHAnsi"/>
          <w:i/>
          <w:iCs/>
          <w:color w:val="000000"/>
        </w:rPr>
        <w:t>.</w:t>
      </w:r>
      <w:proofErr w:type="spellStart"/>
      <w:r w:rsidRPr="00CA4FC6">
        <w:rPr>
          <w:rFonts w:eastAsia="Calibri" w:cstheme="minorHAnsi"/>
          <w:i/>
          <w:iCs/>
          <w:color w:val="000000"/>
        </w:rPr>
        <w:t>xlsx</w:t>
      </w:r>
      <w:proofErr w:type="spellEnd"/>
      <w:r w:rsidRPr="00CA4FC6">
        <w:rPr>
          <w:rFonts w:eastAsia="Calibri" w:cstheme="minorHAnsi"/>
          <w:i/>
          <w:iCs/>
          <w:color w:val="000000"/>
        </w:rPr>
        <w:t xml:space="preserve"> (</w:t>
      </w:r>
      <w:proofErr w:type="spellStart"/>
      <w:r w:rsidRPr="00CA4FC6">
        <w:rPr>
          <w:rFonts w:eastAsia="Calibri" w:cstheme="minorHAnsi"/>
          <w:i/>
          <w:iCs/>
          <w:color w:val="000000"/>
        </w:rPr>
        <w:t>excel</w:t>
      </w:r>
      <w:proofErr w:type="spellEnd"/>
      <w:r w:rsidRPr="00CA4FC6">
        <w:rPr>
          <w:rFonts w:eastAsia="Calibri" w:cstheme="minorHAnsi"/>
          <w:i/>
          <w:iCs/>
          <w:color w:val="000000"/>
        </w:rPr>
        <w:t>)</w:t>
      </w:r>
      <w:r w:rsidRPr="00CA4FC6">
        <w:rPr>
          <w:rFonts w:eastAsia="Calibri" w:cstheme="minorHAnsi"/>
          <w:color w:val="000000"/>
        </w:rPr>
        <w:t xml:space="preserve"> failā ar tādu pašu nosaukumu “Manipulāciju saraksta izmaiņu reģistrs”, kā arī tīmekļvietnē jau ir pieejama īsa pamācība, kā lietot datu atlasīšanas funkcijas </w:t>
      </w:r>
      <w:r w:rsidRPr="00CA4FC6">
        <w:rPr>
          <w:rFonts w:eastAsia="Calibri" w:cstheme="minorHAnsi"/>
          <w:i/>
          <w:iCs/>
          <w:color w:val="000000"/>
        </w:rPr>
        <w:t>.</w:t>
      </w:r>
      <w:proofErr w:type="spellStart"/>
      <w:r w:rsidRPr="00CA4FC6">
        <w:rPr>
          <w:rFonts w:eastAsia="Calibri" w:cstheme="minorHAnsi"/>
          <w:i/>
          <w:iCs/>
          <w:color w:val="000000"/>
        </w:rPr>
        <w:t>xlsx</w:t>
      </w:r>
      <w:proofErr w:type="spellEnd"/>
      <w:r w:rsidRPr="00CA4FC6">
        <w:rPr>
          <w:rFonts w:eastAsia="Calibri" w:cstheme="minorHAnsi"/>
          <w:i/>
          <w:iCs/>
          <w:color w:val="000000"/>
        </w:rPr>
        <w:t xml:space="preserve"> (</w:t>
      </w:r>
      <w:proofErr w:type="spellStart"/>
      <w:r w:rsidRPr="00CA4FC6">
        <w:rPr>
          <w:rFonts w:eastAsia="Calibri" w:cstheme="minorHAnsi"/>
          <w:i/>
          <w:iCs/>
          <w:color w:val="000000"/>
        </w:rPr>
        <w:t>excel</w:t>
      </w:r>
      <w:proofErr w:type="spellEnd"/>
      <w:r w:rsidRPr="00CA4FC6">
        <w:rPr>
          <w:rFonts w:eastAsia="Calibri" w:cstheme="minorHAnsi"/>
          <w:i/>
          <w:iCs/>
          <w:color w:val="000000"/>
        </w:rPr>
        <w:t>)</w:t>
      </w:r>
      <w:r w:rsidRPr="00CA4FC6">
        <w:rPr>
          <w:rFonts w:eastAsia="Calibri" w:cstheme="minorHAnsi"/>
          <w:color w:val="000000"/>
        </w:rPr>
        <w:t xml:space="preserve"> failos.</w:t>
      </w:r>
    </w:p>
    <w:p w14:paraId="15074C03" w14:textId="77777777" w:rsidR="00CA4FC6" w:rsidRPr="00CA4FC6" w:rsidRDefault="00CA4FC6" w:rsidP="00CA4FC6">
      <w:pPr>
        <w:widowControl w:val="0"/>
        <w:autoSpaceDE w:val="0"/>
        <w:autoSpaceDN w:val="0"/>
        <w:adjustRightInd w:val="0"/>
        <w:spacing w:after="0" w:line="240" w:lineRule="auto"/>
        <w:ind w:left="17" w:firstLine="567"/>
        <w:contextualSpacing/>
        <w:jc w:val="both"/>
        <w:rPr>
          <w:rFonts w:eastAsia="Calibri" w:cstheme="minorHAnsi"/>
          <w:color w:val="000000"/>
        </w:rPr>
      </w:pPr>
      <w:r w:rsidRPr="00CA4FC6">
        <w:rPr>
          <w:rFonts w:eastAsia="Calibri" w:cstheme="minorHAnsi"/>
          <w:color w:val="000000"/>
        </w:rPr>
        <w:t xml:space="preserve">Ņemot vērā gripas un citu vīrusu izplatības pieaugumu valstī, Dienests atsāk apmaksāt manipulācijas 60181 </w:t>
      </w:r>
      <w:r w:rsidRPr="00CA4FC6">
        <w:rPr>
          <w:rFonts w:eastAsia="Calibri" w:cstheme="minorHAnsi"/>
          <w:i/>
          <w:iCs/>
          <w:color w:val="000000"/>
        </w:rPr>
        <w:t>“Maksājums ģimenes ārstam par pacienta vecumā līdz 65 gadiem attālinātu konsultāciju brīvdienā vai svētku dienā”</w:t>
      </w:r>
      <w:r w:rsidRPr="00CA4FC6">
        <w:rPr>
          <w:rFonts w:eastAsia="Calibri" w:cstheme="minorHAnsi"/>
          <w:color w:val="000000"/>
        </w:rPr>
        <w:t xml:space="preserve">, 60182 </w:t>
      </w:r>
      <w:r w:rsidRPr="00CA4FC6">
        <w:rPr>
          <w:rFonts w:eastAsia="Calibri" w:cstheme="minorHAnsi"/>
          <w:i/>
          <w:iCs/>
          <w:color w:val="000000"/>
        </w:rPr>
        <w:t>“Maksājums ģimenes ārstam par pacienta vecumā no 65 gadiem attālinātu konsultāciju brīvdienā vai svētku dienā”</w:t>
      </w:r>
      <w:r w:rsidRPr="00CA4FC6">
        <w:rPr>
          <w:rFonts w:eastAsia="Calibri" w:cstheme="minorHAnsi"/>
          <w:color w:val="000000"/>
        </w:rPr>
        <w:t xml:space="preserve"> un 60183</w:t>
      </w:r>
      <w:r w:rsidRPr="00CA4FC6">
        <w:rPr>
          <w:rFonts w:eastAsia="Calibri" w:cstheme="minorHAnsi"/>
          <w:i/>
          <w:iCs/>
          <w:color w:val="000000"/>
        </w:rPr>
        <w:t xml:space="preserve"> “Piemaksa ģimenes ārstam par pacientu aprūpi klātienē brīvdienās un svētku dienās”</w:t>
      </w:r>
      <w:r w:rsidRPr="00CA4FC6">
        <w:rPr>
          <w:rFonts w:eastAsia="Calibri" w:cstheme="minorHAnsi"/>
          <w:color w:val="000000"/>
        </w:rPr>
        <w:t>, lai nodrošinātu pacientiem ārstu pieejamību brīvdienās.</w:t>
      </w:r>
    </w:p>
    <w:p w14:paraId="53FBC975" w14:textId="77777777" w:rsidR="00CA4FC6" w:rsidRPr="00CA4FC6" w:rsidRDefault="00CA4FC6" w:rsidP="00CA4FC6">
      <w:pPr>
        <w:widowControl w:val="0"/>
        <w:autoSpaceDE w:val="0"/>
        <w:autoSpaceDN w:val="0"/>
        <w:adjustRightInd w:val="0"/>
        <w:spacing w:after="0" w:line="240" w:lineRule="auto"/>
        <w:ind w:left="17" w:firstLine="567"/>
        <w:contextualSpacing/>
        <w:jc w:val="both"/>
        <w:rPr>
          <w:rFonts w:eastAsia="Calibri" w:cstheme="minorHAnsi"/>
          <w:color w:val="000000"/>
        </w:rPr>
      </w:pPr>
      <w:r w:rsidRPr="00CA4FC6">
        <w:rPr>
          <w:rFonts w:eastAsia="Calibri" w:cstheme="minorHAnsi"/>
          <w:color w:val="000000"/>
        </w:rPr>
        <w:t>Dienests ir veicis manipulācijas 19016 “</w:t>
      </w:r>
      <w:r w:rsidRPr="00CA4FC6">
        <w:rPr>
          <w:rFonts w:eastAsia="Calibri" w:cstheme="minorHAnsi"/>
          <w:i/>
          <w:iCs/>
          <w:color w:val="000000"/>
        </w:rPr>
        <w:t xml:space="preserve">Urīnpūšļa </w:t>
      </w:r>
      <w:proofErr w:type="spellStart"/>
      <w:r w:rsidRPr="00CA4FC6">
        <w:rPr>
          <w:rFonts w:eastAsia="Calibri" w:cstheme="minorHAnsi"/>
          <w:i/>
          <w:iCs/>
          <w:color w:val="000000"/>
        </w:rPr>
        <w:t>katetrizācija</w:t>
      </w:r>
      <w:proofErr w:type="spellEnd"/>
      <w:r w:rsidRPr="00CA4FC6">
        <w:rPr>
          <w:rFonts w:eastAsia="Calibri" w:cstheme="minorHAnsi"/>
          <w:i/>
          <w:iCs/>
          <w:color w:val="000000"/>
        </w:rPr>
        <w:t xml:space="preserve"> ar vienreizlietojamā katetra vērtību</w:t>
      </w:r>
      <w:r w:rsidRPr="00CA4FC6">
        <w:rPr>
          <w:rFonts w:eastAsia="Calibri" w:cstheme="minorHAnsi"/>
          <w:color w:val="000000"/>
        </w:rPr>
        <w:t>” pārrēķinu, balstoties uz faktisko izmaksu pieaugumu, kas finansējams esošā budžeta ietvaros. Tāpat Dienests ir veicis precizējumus manipulāciju 01018 “</w:t>
      </w:r>
      <w:r w:rsidRPr="00CA4FC6">
        <w:rPr>
          <w:rFonts w:eastAsia="Calibri" w:cstheme="minorHAnsi"/>
          <w:i/>
          <w:iCs/>
          <w:color w:val="000000"/>
        </w:rPr>
        <w:t>Ārsta konsultācija pirms vakcinācijas. Nenorāda kopā ar manipulāciju 01061, 60443 un 60444</w:t>
      </w:r>
      <w:r w:rsidRPr="00CA4FC6">
        <w:rPr>
          <w:rFonts w:eastAsia="Calibri" w:cstheme="minorHAnsi"/>
          <w:color w:val="000000"/>
        </w:rPr>
        <w:t>”, 01019 “</w:t>
      </w:r>
      <w:r w:rsidRPr="00CA4FC6">
        <w:rPr>
          <w:rFonts w:eastAsia="Calibri" w:cstheme="minorHAnsi"/>
          <w:i/>
          <w:iCs/>
          <w:color w:val="000000"/>
        </w:rPr>
        <w:t>Ārsta palīga vai vecmātes konsultācija pirms vakcinācijas</w:t>
      </w:r>
      <w:r w:rsidRPr="00CA4FC6">
        <w:rPr>
          <w:rFonts w:eastAsia="Calibri" w:cstheme="minorHAnsi"/>
          <w:color w:val="000000"/>
        </w:rPr>
        <w:t>”, 03081 “</w:t>
      </w:r>
      <w:r w:rsidRPr="00CA4FC6">
        <w:rPr>
          <w:rFonts w:eastAsia="Calibri" w:cstheme="minorHAnsi"/>
          <w:i/>
          <w:iCs/>
          <w:color w:val="000000"/>
        </w:rPr>
        <w:t>Vakcīnas ievadīšana ādā, zemādā un muskulī</w:t>
      </w:r>
      <w:r w:rsidRPr="00CA4FC6">
        <w:rPr>
          <w:rFonts w:eastAsia="Calibri" w:cstheme="minorHAnsi"/>
          <w:color w:val="000000"/>
        </w:rPr>
        <w:t>” apmaksas nosacījumos:</w:t>
      </w:r>
    </w:p>
    <w:p w14:paraId="7D6C7A72" w14:textId="77777777" w:rsidR="00CA4FC6" w:rsidRPr="00CA4FC6" w:rsidRDefault="00CA4FC6" w:rsidP="00CA4FC6">
      <w:pPr>
        <w:widowControl w:val="0"/>
        <w:numPr>
          <w:ilvl w:val="0"/>
          <w:numId w:val="37"/>
        </w:numPr>
        <w:autoSpaceDE w:val="0"/>
        <w:autoSpaceDN w:val="0"/>
        <w:adjustRightInd w:val="0"/>
        <w:spacing w:after="0" w:line="240" w:lineRule="auto"/>
        <w:contextualSpacing/>
        <w:jc w:val="both"/>
        <w:rPr>
          <w:rFonts w:eastAsia="Calibri" w:cstheme="minorHAnsi"/>
          <w:color w:val="000000"/>
        </w:rPr>
      </w:pPr>
      <w:r w:rsidRPr="00CA4FC6">
        <w:rPr>
          <w:rFonts w:eastAsia="Calibri" w:cstheme="minorHAnsi"/>
          <w:color w:val="000000"/>
        </w:rPr>
        <w:t xml:space="preserve">dzēsta piezīme apmaksas nosacījumos, ka no 22.02.2021. līdz 31.12.2022. stacionārā apmaksā tikai Covid-19 vakcinācijas gadījumā pacientiem, kuriem nav iespēja vakcināciju nodrošināt ambulatori ilgstošas </w:t>
      </w:r>
      <w:proofErr w:type="spellStart"/>
      <w:r w:rsidRPr="00CA4FC6">
        <w:rPr>
          <w:rFonts w:eastAsia="Calibri" w:cstheme="minorHAnsi"/>
          <w:color w:val="000000"/>
        </w:rPr>
        <w:t>stacionēšanas</w:t>
      </w:r>
      <w:proofErr w:type="spellEnd"/>
      <w:r w:rsidRPr="00CA4FC6">
        <w:rPr>
          <w:rFonts w:eastAsia="Calibri" w:cstheme="minorHAnsi"/>
          <w:color w:val="000000"/>
        </w:rPr>
        <w:t xml:space="preserve"> dēļ, norādot diagnozi U11.9. Dienests norāda, ka vakcināciju pret Covid-19 pamatā jānodrošina ģimenes ārstu praksēs un ambulatori.</w:t>
      </w:r>
    </w:p>
    <w:p w14:paraId="45A26BAA" w14:textId="77777777" w:rsidR="00CA4FC6" w:rsidRPr="00CA4FC6" w:rsidRDefault="00CA4FC6" w:rsidP="00CA4FC6">
      <w:pPr>
        <w:widowControl w:val="0"/>
        <w:autoSpaceDE w:val="0"/>
        <w:autoSpaceDN w:val="0"/>
        <w:adjustRightInd w:val="0"/>
        <w:spacing w:after="0" w:line="240" w:lineRule="auto"/>
        <w:jc w:val="both"/>
        <w:rPr>
          <w:rFonts w:eastAsia="Calibri" w:cstheme="minorHAnsi"/>
          <w:color w:val="000000"/>
        </w:rPr>
      </w:pPr>
      <w:r w:rsidRPr="00CA4FC6">
        <w:rPr>
          <w:rFonts w:eastAsia="Calibri" w:cstheme="minorHAnsi"/>
          <w:color w:val="000000"/>
        </w:rPr>
        <w:t>Papildus Dienests ir veicis precizējumus manipulāciju 47328 “</w:t>
      </w:r>
      <w:r w:rsidRPr="00CA4FC6">
        <w:rPr>
          <w:rFonts w:eastAsia="Calibri" w:cstheme="minorHAnsi"/>
          <w:i/>
          <w:iCs/>
          <w:color w:val="000000"/>
        </w:rPr>
        <w:t>SARS-CoV-2 (COVID-19) antigēna noteikšana (</w:t>
      </w:r>
      <w:proofErr w:type="spellStart"/>
      <w:r w:rsidRPr="00CA4FC6">
        <w:rPr>
          <w:rFonts w:eastAsia="Calibri" w:cstheme="minorHAnsi"/>
          <w:i/>
          <w:iCs/>
          <w:color w:val="000000"/>
        </w:rPr>
        <w:t>Ag</w:t>
      </w:r>
      <w:proofErr w:type="spellEnd"/>
      <w:r w:rsidRPr="00CA4FC6">
        <w:rPr>
          <w:rFonts w:eastAsia="Calibri" w:cstheme="minorHAnsi"/>
          <w:i/>
          <w:iCs/>
          <w:color w:val="000000"/>
        </w:rPr>
        <w:t xml:space="preserve"> </w:t>
      </w:r>
      <w:proofErr w:type="spellStart"/>
      <w:r w:rsidRPr="00CA4FC6">
        <w:rPr>
          <w:rFonts w:eastAsia="Calibri" w:cstheme="minorHAnsi"/>
          <w:i/>
          <w:iCs/>
          <w:color w:val="000000"/>
        </w:rPr>
        <w:t>eksprestests</w:t>
      </w:r>
      <w:proofErr w:type="spellEnd"/>
      <w:r w:rsidRPr="00CA4FC6">
        <w:rPr>
          <w:rFonts w:eastAsia="Calibri" w:cstheme="minorHAnsi"/>
          <w:i/>
          <w:iCs/>
          <w:color w:val="000000"/>
        </w:rPr>
        <w:t>) (bez reaģenta komplekta vērtības)</w:t>
      </w:r>
      <w:r w:rsidRPr="00CA4FC6">
        <w:rPr>
          <w:rFonts w:eastAsia="Calibri" w:cstheme="minorHAnsi"/>
          <w:color w:val="000000"/>
        </w:rPr>
        <w:t>” un 47268 “</w:t>
      </w:r>
      <w:r w:rsidRPr="00CA4FC6">
        <w:rPr>
          <w:rFonts w:eastAsia="Calibri" w:cstheme="minorHAnsi"/>
          <w:i/>
          <w:iCs/>
          <w:color w:val="000000"/>
        </w:rPr>
        <w:t>SARS-CoV-2 (COVID-19) antigēna noteikšana (</w:t>
      </w:r>
      <w:proofErr w:type="spellStart"/>
      <w:r w:rsidRPr="00CA4FC6">
        <w:rPr>
          <w:rFonts w:eastAsia="Calibri" w:cstheme="minorHAnsi"/>
          <w:i/>
          <w:iCs/>
          <w:color w:val="000000"/>
        </w:rPr>
        <w:t>Ag</w:t>
      </w:r>
      <w:proofErr w:type="spellEnd"/>
      <w:r w:rsidRPr="00CA4FC6">
        <w:rPr>
          <w:rFonts w:eastAsia="Calibri" w:cstheme="minorHAnsi"/>
          <w:i/>
          <w:iCs/>
          <w:color w:val="000000"/>
        </w:rPr>
        <w:t xml:space="preserve"> </w:t>
      </w:r>
      <w:proofErr w:type="spellStart"/>
      <w:r w:rsidRPr="00CA4FC6">
        <w:rPr>
          <w:rFonts w:eastAsia="Calibri" w:cstheme="minorHAnsi"/>
          <w:i/>
          <w:iCs/>
          <w:color w:val="000000"/>
        </w:rPr>
        <w:t>eksprestests</w:t>
      </w:r>
      <w:proofErr w:type="spellEnd"/>
      <w:r w:rsidRPr="00CA4FC6">
        <w:rPr>
          <w:rFonts w:eastAsia="Calibri" w:cstheme="minorHAnsi"/>
          <w:i/>
          <w:iCs/>
          <w:color w:val="000000"/>
        </w:rPr>
        <w:t>) (ar reaģenta komplekta vērtību)</w:t>
      </w:r>
      <w:r w:rsidRPr="00CA4FC6">
        <w:rPr>
          <w:rFonts w:eastAsia="Calibri" w:cstheme="minorHAnsi"/>
          <w:color w:val="000000"/>
        </w:rPr>
        <w:t>” apmaksas nosacījumos:</w:t>
      </w:r>
    </w:p>
    <w:p w14:paraId="0309232A" w14:textId="77777777" w:rsidR="00CA4FC6" w:rsidRPr="00CA4FC6" w:rsidRDefault="00CA4FC6" w:rsidP="00CA4FC6">
      <w:pPr>
        <w:widowControl w:val="0"/>
        <w:numPr>
          <w:ilvl w:val="0"/>
          <w:numId w:val="37"/>
        </w:numPr>
        <w:autoSpaceDE w:val="0"/>
        <w:autoSpaceDN w:val="0"/>
        <w:adjustRightInd w:val="0"/>
        <w:spacing w:after="0" w:line="240" w:lineRule="auto"/>
        <w:contextualSpacing/>
        <w:jc w:val="both"/>
        <w:rPr>
          <w:rFonts w:eastAsia="Calibri" w:cstheme="minorHAnsi"/>
          <w:color w:val="000000"/>
        </w:rPr>
      </w:pPr>
      <w:r w:rsidRPr="00CA4FC6">
        <w:rPr>
          <w:rFonts w:eastAsia="Calibri" w:cstheme="minorHAnsi"/>
          <w:color w:val="000000"/>
        </w:rPr>
        <w:t>pievienota pazīme, ka minētās manipulācijas apmaksājamas ģimenes ārsta praksei;</w:t>
      </w:r>
    </w:p>
    <w:p w14:paraId="1096C3E6" w14:textId="77777777" w:rsidR="00CA4FC6" w:rsidRPr="00CA4FC6" w:rsidRDefault="00CA4FC6" w:rsidP="00CA4FC6">
      <w:pPr>
        <w:widowControl w:val="0"/>
        <w:numPr>
          <w:ilvl w:val="0"/>
          <w:numId w:val="37"/>
        </w:numPr>
        <w:autoSpaceDE w:val="0"/>
        <w:autoSpaceDN w:val="0"/>
        <w:adjustRightInd w:val="0"/>
        <w:spacing w:after="0" w:line="240" w:lineRule="auto"/>
        <w:contextualSpacing/>
        <w:jc w:val="both"/>
        <w:rPr>
          <w:rFonts w:eastAsia="Calibri" w:cstheme="minorHAnsi"/>
          <w:color w:val="000000"/>
        </w:rPr>
      </w:pPr>
      <w:r w:rsidRPr="00CA4FC6">
        <w:rPr>
          <w:rFonts w:eastAsia="Calibri" w:cstheme="minorHAnsi"/>
          <w:color w:val="000000"/>
        </w:rPr>
        <w:t>precizēta piezīme apmaksas nosacījumos, ka manipulācijas apmaksājamas atbilstoši SPKC Covid-19 testēšanas algoritmam un līguma nosacījumiem.</w:t>
      </w:r>
      <w:r w:rsidRPr="00CA4FC6">
        <w:rPr>
          <w:rFonts w:eastAsia="Calibri" w:cstheme="minorHAnsi"/>
          <w:color w:val="000000"/>
        </w:rPr>
        <w:tab/>
      </w:r>
    </w:p>
    <w:p w14:paraId="02E60688" w14:textId="77777777" w:rsidR="00CA4FC6" w:rsidRPr="00CA4FC6" w:rsidRDefault="00CA4FC6" w:rsidP="00CA4FC6">
      <w:pPr>
        <w:widowControl w:val="0"/>
        <w:autoSpaceDE w:val="0"/>
        <w:autoSpaceDN w:val="0"/>
        <w:adjustRightInd w:val="0"/>
        <w:spacing w:after="0" w:line="240" w:lineRule="auto"/>
        <w:ind w:firstLine="720"/>
        <w:jc w:val="both"/>
        <w:rPr>
          <w:rFonts w:eastAsia="Calibri" w:cstheme="minorHAnsi"/>
          <w:color w:val="000000"/>
        </w:rPr>
      </w:pPr>
      <w:r w:rsidRPr="00CA4FC6">
        <w:rPr>
          <w:rFonts w:eastAsia="Calibri" w:cstheme="minorHAnsi"/>
          <w:color w:val="000000"/>
        </w:rPr>
        <w:t>Savukārt, manipulācijām 03084 “</w:t>
      </w:r>
      <w:r w:rsidRPr="00CA4FC6">
        <w:rPr>
          <w:rFonts w:eastAsia="Calibri" w:cstheme="minorHAnsi"/>
          <w:i/>
          <w:iCs/>
          <w:color w:val="000000"/>
        </w:rPr>
        <w:t>Adrenalīna (</w:t>
      </w:r>
      <w:proofErr w:type="spellStart"/>
      <w:r w:rsidRPr="00CA4FC6">
        <w:rPr>
          <w:rFonts w:eastAsia="Calibri" w:cstheme="minorHAnsi"/>
          <w:i/>
          <w:iCs/>
          <w:color w:val="000000"/>
        </w:rPr>
        <w:t>epinefrīna</w:t>
      </w:r>
      <w:proofErr w:type="spellEnd"/>
      <w:r w:rsidRPr="00CA4FC6">
        <w:rPr>
          <w:rFonts w:eastAsia="Calibri" w:cstheme="minorHAnsi"/>
          <w:i/>
          <w:iCs/>
          <w:color w:val="000000"/>
        </w:rPr>
        <w:t>) (</w:t>
      </w:r>
      <w:proofErr w:type="spellStart"/>
      <w:r w:rsidRPr="00CA4FC6">
        <w:rPr>
          <w:rFonts w:eastAsia="Calibri" w:cstheme="minorHAnsi"/>
          <w:i/>
          <w:iCs/>
          <w:color w:val="000000"/>
        </w:rPr>
        <w:t>epinephrinum</w:t>
      </w:r>
      <w:proofErr w:type="spellEnd"/>
      <w:r w:rsidRPr="00CA4FC6">
        <w:rPr>
          <w:rFonts w:eastAsia="Calibri" w:cstheme="minorHAnsi"/>
          <w:i/>
          <w:iCs/>
          <w:color w:val="000000"/>
        </w:rPr>
        <w:t xml:space="preserve">) 300 µg vai 150 µg injekcija ar </w:t>
      </w:r>
      <w:proofErr w:type="spellStart"/>
      <w:r w:rsidRPr="00CA4FC6">
        <w:rPr>
          <w:rFonts w:eastAsia="Calibri" w:cstheme="minorHAnsi"/>
          <w:i/>
          <w:iCs/>
          <w:color w:val="000000"/>
        </w:rPr>
        <w:t>pildspalvveida</w:t>
      </w:r>
      <w:proofErr w:type="spellEnd"/>
      <w:r w:rsidRPr="00CA4FC6">
        <w:rPr>
          <w:rFonts w:eastAsia="Calibri" w:cstheme="minorHAnsi"/>
          <w:i/>
          <w:iCs/>
          <w:color w:val="000000"/>
        </w:rPr>
        <w:t xml:space="preserve"> </w:t>
      </w:r>
      <w:proofErr w:type="spellStart"/>
      <w:r w:rsidRPr="00CA4FC6">
        <w:rPr>
          <w:rFonts w:eastAsia="Calibri" w:cstheme="minorHAnsi"/>
          <w:i/>
          <w:iCs/>
          <w:color w:val="000000"/>
        </w:rPr>
        <w:t>pilnšļirci</w:t>
      </w:r>
      <w:proofErr w:type="spellEnd"/>
      <w:r w:rsidRPr="00CA4FC6">
        <w:rPr>
          <w:rFonts w:eastAsia="Calibri" w:cstheme="minorHAnsi"/>
          <w:color w:val="000000"/>
        </w:rPr>
        <w:t>”, 03097 “</w:t>
      </w:r>
      <w:r w:rsidRPr="00CA4FC6">
        <w:rPr>
          <w:rFonts w:eastAsia="Calibri" w:cstheme="minorHAnsi"/>
          <w:i/>
          <w:iCs/>
          <w:color w:val="000000"/>
        </w:rPr>
        <w:t xml:space="preserve">Covid-19 primārās un </w:t>
      </w:r>
      <w:proofErr w:type="spellStart"/>
      <w:r w:rsidRPr="00CA4FC6">
        <w:rPr>
          <w:rFonts w:eastAsia="Calibri" w:cstheme="minorHAnsi"/>
          <w:i/>
          <w:iCs/>
          <w:color w:val="000000"/>
        </w:rPr>
        <w:t>balstvakcinācijas</w:t>
      </w:r>
      <w:proofErr w:type="spellEnd"/>
      <w:r w:rsidRPr="00CA4FC6">
        <w:rPr>
          <w:rFonts w:eastAsia="Calibri" w:cstheme="minorHAnsi"/>
          <w:i/>
          <w:iCs/>
          <w:color w:val="000000"/>
        </w:rPr>
        <w:t xml:space="preserve"> </w:t>
      </w:r>
      <w:r w:rsidRPr="00CA4FC6">
        <w:rPr>
          <w:rFonts w:eastAsia="Calibri" w:cstheme="minorHAnsi"/>
          <w:i/>
          <w:iCs/>
          <w:color w:val="000000"/>
        </w:rPr>
        <w:lastRenderedPageBreak/>
        <w:t xml:space="preserve">nodrošināšana ģimenes ārstu praksē pacientiem ar hroniskām saslimšanām, senioriem no 65 gadu vecuma, grūtniecēm un </w:t>
      </w:r>
      <w:proofErr w:type="spellStart"/>
      <w:r w:rsidRPr="00CA4FC6">
        <w:rPr>
          <w:rFonts w:eastAsia="Calibri" w:cstheme="minorHAnsi"/>
          <w:i/>
          <w:iCs/>
          <w:color w:val="000000"/>
        </w:rPr>
        <w:t>imūnsupresētām</w:t>
      </w:r>
      <w:proofErr w:type="spellEnd"/>
      <w:r w:rsidRPr="00CA4FC6">
        <w:rPr>
          <w:rFonts w:eastAsia="Calibri" w:cstheme="minorHAnsi"/>
          <w:i/>
          <w:iCs/>
          <w:color w:val="000000"/>
        </w:rPr>
        <w:t xml:space="preserve"> personām saskaņā ar Imunizācijas valsts padomes rekomendācijām</w:t>
      </w:r>
      <w:r w:rsidRPr="00CA4FC6">
        <w:rPr>
          <w:rFonts w:eastAsia="Calibri" w:cstheme="minorHAnsi"/>
          <w:color w:val="000000"/>
        </w:rPr>
        <w:t>”, 60049 “</w:t>
      </w:r>
      <w:r w:rsidRPr="00CA4FC6">
        <w:rPr>
          <w:rFonts w:eastAsia="Calibri" w:cstheme="minorHAnsi"/>
          <w:i/>
          <w:iCs/>
          <w:color w:val="000000"/>
        </w:rPr>
        <w:t>Individuālie aizsardzības līdzekļi Covid-19 vai gripas vakcinēšanai</w:t>
      </w:r>
      <w:r w:rsidRPr="00CA4FC6">
        <w:rPr>
          <w:rFonts w:eastAsia="Calibri" w:cstheme="minorHAnsi"/>
          <w:color w:val="000000"/>
        </w:rPr>
        <w:t>” un 60059 “</w:t>
      </w:r>
      <w:r w:rsidRPr="00CA4FC6">
        <w:rPr>
          <w:rFonts w:eastAsia="Calibri" w:cstheme="minorHAnsi"/>
          <w:i/>
          <w:iCs/>
          <w:color w:val="000000"/>
        </w:rPr>
        <w:t>Ārstniecības personas izbraukums COVID-19  vakcinēšanas nodrošināšanai pacienta dzīvesvietā</w:t>
      </w:r>
      <w:r w:rsidRPr="00CA4FC6">
        <w:rPr>
          <w:rFonts w:eastAsia="Calibri" w:cstheme="minorHAnsi"/>
          <w:color w:val="000000"/>
        </w:rPr>
        <w:t xml:space="preserve">” tiek pagarināts termiņš līdz 31.12.2023.g. </w:t>
      </w:r>
    </w:p>
    <w:p w14:paraId="4D954DD2" w14:textId="77777777" w:rsidR="00CA4FC6" w:rsidRPr="00CA4FC6" w:rsidRDefault="00CA4FC6" w:rsidP="00CA4FC6">
      <w:pPr>
        <w:widowControl w:val="0"/>
        <w:autoSpaceDE w:val="0"/>
        <w:autoSpaceDN w:val="0"/>
        <w:adjustRightInd w:val="0"/>
        <w:spacing w:after="0" w:line="240" w:lineRule="auto"/>
        <w:jc w:val="both"/>
        <w:rPr>
          <w:rFonts w:eastAsia="Calibri" w:cstheme="minorHAnsi"/>
          <w:color w:val="000000"/>
        </w:rPr>
      </w:pPr>
      <w:r w:rsidRPr="00CA4FC6">
        <w:rPr>
          <w:rFonts w:eastAsia="Calibri" w:cstheme="minorHAnsi"/>
          <w:color w:val="000000"/>
        </w:rPr>
        <w:tab/>
        <w:t xml:space="preserve">Tāpat Dienests manipulācijai 60546 </w:t>
      </w:r>
      <w:r w:rsidRPr="00CA4FC6">
        <w:rPr>
          <w:rFonts w:eastAsia="Calibri" w:cstheme="minorHAnsi"/>
          <w:i/>
          <w:iCs/>
          <w:color w:val="000000"/>
        </w:rPr>
        <w:t>“Ģimenes ārsta praksē nodarbinātas māsas mājas vizīte vai attālināti veikta konsultācija pacientam, pie kura neatliekamās medicīniskās palīdzības brigāde veikusi izbraukumu un ģimenes ārsta prakse vienojusies ar pacientu par turpmāko aprūpi”</w:t>
      </w:r>
      <w:r w:rsidRPr="00CA4FC6">
        <w:rPr>
          <w:rFonts w:eastAsia="Calibri" w:cstheme="minorHAnsi"/>
          <w:color w:val="000000"/>
        </w:rPr>
        <w:t xml:space="preserve"> veicis papildinājumu tās nosaukumā, pamatojoties uz aktuālo nepieciešamību pēc uzskaites manipulācijas par ģimenes ārsta vai ģimenes ārsta praksē nodarbinātās māsas telefonisku (attālinātu) konsultāciju pacientam, pie kura ir bijusi neatliekamās medicīniskās palīdzības dienests.</w:t>
      </w:r>
    </w:p>
    <w:p w14:paraId="73D756E4" w14:textId="77777777" w:rsidR="00CA4FC6" w:rsidRPr="00CA4FC6" w:rsidRDefault="00CA4FC6" w:rsidP="00CA4FC6">
      <w:pPr>
        <w:widowControl w:val="0"/>
        <w:autoSpaceDE w:val="0"/>
        <w:autoSpaceDN w:val="0"/>
        <w:adjustRightInd w:val="0"/>
        <w:spacing w:after="0" w:line="240" w:lineRule="auto"/>
        <w:ind w:firstLine="720"/>
        <w:jc w:val="both"/>
        <w:rPr>
          <w:rFonts w:eastAsia="Calibri" w:cstheme="minorHAnsi"/>
          <w:color w:val="000000"/>
        </w:rPr>
      </w:pPr>
      <w:r w:rsidRPr="00CA4FC6">
        <w:rPr>
          <w:rFonts w:eastAsia="Calibri" w:cstheme="minorHAnsi"/>
          <w:color w:val="000000"/>
        </w:rPr>
        <w:t xml:space="preserve">Ņemot vērā augstāk minēto informāciju, Dienests informē, ka </w:t>
      </w:r>
      <w:r w:rsidRPr="00CA4FC6">
        <w:rPr>
          <w:rFonts w:eastAsia="Calibri" w:cstheme="minorHAnsi"/>
        </w:rPr>
        <w:t>plašāka informācija par plānotajām manipulāciju saraksta izmaiņām no 01.01.2023.g. ir pieejama vēstules pielikumā pievienotajā Manipulāciju saraksta izmaiņu reģistrā.</w:t>
      </w:r>
    </w:p>
    <w:p w14:paraId="272D655C" w14:textId="77777777" w:rsidR="00CA4FC6" w:rsidRPr="00CA4FC6" w:rsidRDefault="00CA4FC6" w:rsidP="00CA4FC6">
      <w:pPr>
        <w:spacing w:after="120" w:line="276" w:lineRule="auto"/>
        <w:ind w:firstLine="567"/>
        <w:contextualSpacing/>
        <w:jc w:val="both"/>
        <w:rPr>
          <w:rFonts w:eastAsia="Times New Roman" w:cstheme="minorHAnsi"/>
          <w:noProof/>
          <w:lang w:eastAsia="lv-LV"/>
        </w:rPr>
      </w:pPr>
    </w:p>
    <w:p w14:paraId="26C63FBE" w14:textId="768DA568" w:rsidR="005B71B9" w:rsidRPr="00CA4FC6" w:rsidRDefault="00CA4FC6" w:rsidP="00CA4FC6">
      <w:pPr>
        <w:spacing w:after="120"/>
        <w:ind w:firstLine="720"/>
        <w:jc w:val="both"/>
        <w:rPr>
          <w:rFonts w:cstheme="minorHAnsi"/>
          <w:b/>
          <w:bCs/>
        </w:rPr>
      </w:pPr>
      <w:r>
        <w:object w:dxaOrig="1520" w:dyaOrig="985" w14:anchorId="0B3DA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8" o:title=""/>
          </v:shape>
          <o:OLEObject Type="Embed" ProgID="Word.Document.12" ShapeID="_x0000_i1026" DrawAspect="Icon" ObjectID="_1733907338" r:id="rId9">
            <o:FieldCodes>\s</o:FieldCodes>
          </o:OLEObject>
        </w:object>
      </w:r>
      <w:r>
        <w:object w:dxaOrig="1520" w:dyaOrig="985" w14:anchorId="564D8254">
          <v:shape id="_x0000_i1025" type="#_x0000_t75" style="width:76.2pt;height:49.2pt" o:ole="">
            <v:imagedata r:id="rId10" o:title=""/>
          </v:shape>
          <o:OLEObject Type="Embed" ProgID="Excel.Sheet.12" ShapeID="_x0000_i1025" DrawAspect="Icon" ObjectID="_1733907339" r:id="rId11"/>
        </w:object>
      </w:r>
    </w:p>
    <w:sectPr w:rsidR="005B71B9" w:rsidRPr="00CA4FC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51015" w14:textId="77777777" w:rsidR="005D19F8" w:rsidRDefault="005D19F8" w:rsidP="007004A0">
      <w:pPr>
        <w:spacing w:after="0" w:line="240" w:lineRule="auto"/>
      </w:pPr>
      <w:r>
        <w:separator/>
      </w:r>
    </w:p>
  </w:endnote>
  <w:endnote w:type="continuationSeparator" w:id="0">
    <w:p w14:paraId="3DB6F2C2" w14:textId="77777777" w:rsidR="005D19F8" w:rsidRDefault="005D19F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698C" w14:textId="77777777" w:rsidR="005D19F8" w:rsidRDefault="005D19F8" w:rsidP="007004A0">
      <w:pPr>
        <w:spacing w:after="0" w:line="240" w:lineRule="auto"/>
      </w:pPr>
      <w:r>
        <w:separator/>
      </w:r>
    </w:p>
  </w:footnote>
  <w:footnote w:type="continuationSeparator" w:id="0">
    <w:p w14:paraId="17AF8198" w14:textId="77777777" w:rsidR="005D19F8" w:rsidRDefault="005D19F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60409"/>
    <w:rsid w:val="00086431"/>
    <w:rsid w:val="000C6255"/>
    <w:rsid w:val="000D628E"/>
    <w:rsid w:val="000E0C29"/>
    <w:rsid w:val="001600A8"/>
    <w:rsid w:val="001774CD"/>
    <w:rsid w:val="00186157"/>
    <w:rsid w:val="001C0711"/>
    <w:rsid w:val="001E784C"/>
    <w:rsid w:val="0020490E"/>
    <w:rsid w:val="002339E5"/>
    <w:rsid w:val="00276060"/>
    <w:rsid w:val="002C35F4"/>
    <w:rsid w:val="002D059E"/>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4CE2"/>
    <w:rsid w:val="00567287"/>
    <w:rsid w:val="005822C2"/>
    <w:rsid w:val="0058607C"/>
    <w:rsid w:val="005A23E0"/>
    <w:rsid w:val="005B71B9"/>
    <w:rsid w:val="005C1D24"/>
    <w:rsid w:val="005D19F8"/>
    <w:rsid w:val="0062477A"/>
    <w:rsid w:val="0067772D"/>
    <w:rsid w:val="00682D81"/>
    <w:rsid w:val="006D7E5C"/>
    <w:rsid w:val="006E1BC3"/>
    <w:rsid w:val="006F0546"/>
    <w:rsid w:val="006F3A7F"/>
    <w:rsid w:val="007004A0"/>
    <w:rsid w:val="007008FB"/>
    <w:rsid w:val="00707432"/>
    <w:rsid w:val="0071736A"/>
    <w:rsid w:val="007C1832"/>
    <w:rsid w:val="007C6286"/>
    <w:rsid w:val="00812FC8"/>
    <w:rsid w:val="00832E0B"/>
    <w:rsid w:val="00881673"/>
    <w:rsid w:val="00897A29"/>
    <w:rsid w:val="00900488"/>
    <w:rsid w:val="0091385E"/>
    <w:rsid w:val="00914478"/>
    <w:rsid w:val="00923F48"/>
    <w:rsid w:val="00933834"/>
    <w:rsid w:val="0096197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A4FC6"/>
    <w:rsid w:val="00CF744E"/>
    <w:rsid w:val="00D575F0"/>
    <w:rsid w:val="00DD3E41"/>
    <w:rsid w:val="00E139DD"/>
    <w:rsid w:val="00E43933"/>
    <w:rsid w:val="00E56E7E"/>
    <w:rsid w:val="00E732E3"/>
    <w:rsid w:val="00EA4FB9"/>
    <w:rsid w:val="00ED0E12"/>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3189</Words>
  <Characters>1819</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2022-12-30T10:09:00Z</dcterms:created>
  <dcterms:modified xsi:type="dcterms:W3CDTF">2022-12-30T10:09:00Z</dcterms:modified>
</cp:coreProperties>
</file>