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241DF" w14:textId="77777777" w:rsidR="00236A0F" w:rsidRPr="007803D3" w:rsidRDefault="00236A0F" w:rsidP="00236A0F">
      <w:pPr>
        <w:contextualSpacing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803D3">
        <w:rPr>
          <w:rFonts w:asciiTheme="majorBidi" w:hAnsiTheme="majorBidi" w:cstheme="majorBidi"/>
          <w:b/>
          <w:bCs/>
          <w:sz w:val="24"/>
          <w:szCs w:val="24"/>
        </w:rPr>
        <w:t>KOMISIJAS ĪSTENOŠANAS LĒMUMS (ES) 2018/945</w:t>
      </w:r>
    </w:p>
    <w:p w14:paraId="4885B305" w14:textId="77777777" w:rsidR="00236A0F" w:rsidRPr="007803D3" w:rsidRDefault="00236A0F" w:rsidP="00236A0F">
      <w:pPr>
        <w:contextualSpacing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803D3">
        <w:rPr>
          <w:rFonts w:asciiTheme="majorBidi" w:hAnsiTheme="majorBidi" w:cstheme="majorBidi"/>
          <w:b/>
          <w:bCs/>
          <w:sz w:val="24"/>
          <w:szCs w:val="24"/>
        </w:rPr>
        <w:t>(2018. gada 22. jūnijs)</w:t>
      </w:r>
    </w:p>
    <w:p w14:paraId="4C31AAB2" w14:textId="77777777" w:rsidR="00236A0F" w:rsidRPr="007803D3" w:rsidRDefault="00236A0F" w:rsidP="00236A0F">
      <w:pPr>
        <w:contextualSpacing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803D3">
        <w:rPr>
          <w:rFonts w:asciiTheme="majorBidi" w:hAnsiTheme="majorBidi" w:cstheme="majorBidi"/>
          <w:b/>
          <w:bCs/>
          <w:sz w:val="24"/>
          <w:szCs w:val="24"/>
        </w:rPr>
        <w:t>par infekcijas slimībām un ar tām saistītajiem īpašajiem veselības jautājumiem, uz kuriem attiecinās epidemioloģisko uzraudzību, kā arī par attiecīgo gadījumu definīcijām</w:t>
      </w:r>
    </w:p>
    <w:p w14:paraId="286E4D60" w14:textId="77777777" w:rsidR="00236A0F" w:rsidRPr="007803D3" w:rsidRDefault="00236A0F" w:rsidP="00236A0F">
      <w:pPr>
        <w:contextualSpacing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803D3">
        <w:rPr>
          <w:rFonts w:asciiTheme="majorBidi" w:hAnsiTheme="majorBidi" w:cstheme="majorBidi"/>
          <w:b/>
          <w:bCs/>
          <w:sz w:val="24"/>
          <w:szCs w:val="24"/>
        </w:rPr>
        <w:t>(Dokuments attiecas uz EEZ)</w:t>
      </w:r>
    </w:p>
    <w:p w14:paraId="2A9B2621" w14:textId="77777777" w:rsidR="00236A0F" w:rsidRPr="007803D3" w:rsidRDefault="00236A0F" w:rsidP="00236A0F">
      <w:pPr>
        <w:contextualSpacing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D129A0E" w14:textId="77777777" w:rsidR="00236A0F" w:rsidRPr="007803D3" w:rsidRDefault="00236A0F" w:rsidP="00236A0F">
      <w:pPr>
        <w:contextualSpacing/>
        <w:rPr>
          <w:rFonts w:asciiTheme="majorBidi" w:hAnsiTheme="majorBidi" w:cstheme="majorBidi"/>
          <w:b/>
          <w:bCs/>
          <w:sz w:val="24"/>
          <w:szCs w:val="24"/>
        </w:rPr>
      </w:pPr>
      <w:r w:rsidRPr="007803D3">
        <w:rPr>
          <w:rFonts w:asciiTheme="majorBidi" w:hAnsiTheme="majorBidi" w:cstheme="majorBidi"/>
          <w:b/>
          <w:bCs/>
          <w:sz w:val="24"/>
          <w:szCs w:val="24"/>
        </w:rPr>
        <w:t>Masalu gadījuma definīcija</w:t>
      </w:r>
    </w:p>
    <w:p w14:paraId="6DACCB4C" w14:textId="77777777" w:rsidR="00236A0F" w:rsidRPr="007803D3" w:rsidRDefault="00236A0F" w:rsidP="00236A0F">
      <w:pPr>
        <w:pStyle w:val="NormalWeb"/>
        <w:shd w:val="clear" w:color="auto" w:fill="FFFFFF"/>
        <w:spacing w:after="0" w:line="276" w:lineRule="auto"/>
        <w:contextualSpacing/>
        <w:rPr>
          <w:rFonts w:asciiTheme="majorBidi" w:hAnsiTheme="majorBidi" w:cstheme="majorBidi"/>
          <w:b/>
          <w:bCs/>
        </w:rPr>
      </w:pPr>
      <w:r w:rsidRPr="007803D3">
        <w:rPr>
          <w:rFonts w:asciiTheme="majorBidi" w:hAnsiTheme="majorBidi" w:cstheme="majorBidi"/>
          <w:b/>
          <w:bCs/>
        </w:rPr>
        <w:t>Klīniskie kritēriji</w:t>
      </w:r>
    </w:p>
    <w:p w14:paraId="19001600" w14:textId="77777777" w:rsidR="00236A0F" w:rsidRPr="007803D3" w:rsidRDefault="00236A0F" w:rsidP="00236A0F">
      <w:pPr>
        <w:pStyle w:val="NormalWeb"/>
        <w:shd w:val="clear" w:color="auto" w:fill="FFFFFF"/>
        <w:spacing w:after="0" w:line="276" w:lineRule="auto"/>
        <w:contextualSpacing/>
        <w:rPr>
          <w:rFonts w:asciiTheme="majorBidi" w:hAnsiTheme="majorBidi" w:cstheme="majorBidi"/>
        </w:rPr>
      </w:pPr>
      <w:r w:rsidRPr="007803D3">
        <w:rPr>
          <w:rFonts w:asciiTheme="majorBidi" w:hAnsiTheme="majorBidi" w:cstheme="majorBidi"/>
        </w:rPr>
        <w:t>Jebkura persona, kam ir drudzis,</w:t>
      </w:r>
    </w:p>
    <w:p w14:paraId="3358CD5A" w14:textId="77777777" w:rsidR="00236A0F" w:rsidRPr="007803D3" w:rsidRDefault="00236A0F" w:rsidP="00236A0F">
      <w:pPr>
        <w:pStyle w:val="NormalWeb"/>
        <w:shd w:val="clear" w:color="auto" w:fill="FFFFFF"/>
        <w:spacing w:after="0" w:line="276" w:lineRule="auto"/>
        <w:contextualSpacing/>
        <w:rPr>
          <w:rFonts w:asciiTheme="majorBidi" w:hAnsiTheme="majorBidi" w:cstheme="majorBidi"/>
        </w:rPr>
      </w:pPr>
      <w:r w:rsidRPr="007803D3">
        <w:rPr>
          <w:rFonts w:asciiTheme="majorBidi" w:hAnsiTheme="majorBidi" w:cstheme="majorBidi"/>
        </w:rPr>
        <w:t>UN</w:t>
      </w:r>
    </w:p>
    <w:p w14:paraId="70CAB6E1" w14:textId="77777777" w:rsidR="00236A0F" w:rsidRPr="007803D3" w:rsidRDefault="00236A0F" w:rsidP="00236A0F">
      <w:pPr>
        <w:pStyle w:val="NormalWeb"/>
        <w:shd w:val="clear" w:color="auto" w:fill="FFFFFF"/>
        <w:spacing w:after="0" w:line="276" w:lineRule="auto"/>
        <w:contextualSpacing/>
        <w:rPr>
          <w:rFonts w:asciiTheme="majorBidi" w:hAnsiTheme="majorBidi" w:cstheme="majorBidi"/>
        </w:rPr>
      </w:pPr>
      <w:r w:rsidRPr="007803D3">
        <w:rPr>
          <w:rFonts w:asciiTheme="majorBidi" w:hAnsiTheme="majorBidi" w:cstheme="majorBidi"/>
        </w:rPr>
        <w:t>— makulopapulāri izsitumi,</w:t>
      </w:r>
    </w:p>
    <w:p w14:paraId="2BD6D6FE" w14:textId="77777777" w:rsidR="00236A0F" w:rsidRPr="007803D3" w:rsidRDefault="00236A0F" w:rsidP="00236A0F">
      <w:pPr>
        <w:pStyle w:val="NormalWeb"/>
        <w:shd w:val="clear" w:color="auto" w:fill="FFFFFF"/>
        <w:spacing w:after="0" w:line="276" w:lineRule="auto"/>
        <w:contextualSpacing/>
        <w:rPr>
          <w:rFonts w:asciiTheme="majorBidi" w:hAnsiTheme="majorBidi" w:cstheme="majorBidi"/>
        </w:rPr>
      </w:pPr>
      <w:r w:rsidRPr="007803D3">
        <w:rPr>
          <w:rFonts w:asciiTheme="majorBidi" w:hAnsiTheme="majorBidi" w:cstheme="majorBidi"/>
        </w:rPr>
        <w:t>UN vismaz viens no šādiem trim simptomiem:</w:t>
      </w:r>
    </w:p>
    <w:p w14:paraId="6C028E7C" w14:textId="77777777" w:rsidR="00236A0F" w:rsidRPr="007803D3" w:rsidRDefault="00236A0F" w:rsidP="00236A0F">
      <w:pPr>
        <w:pStyle w:val="NormalWeb"/>
        <w:shd w:val="clear" w:color="auto" w:fill="FFFFFF"/>
        <w:spacing w:after="0" w:line="276" w:lineRule="auto"/>
        <w:contextualSpacing/>
        <w:rPr>
          <w:rFonts w:asciiTheme="majorBidi" w:hAnsiTheme="majorBidi" w:cstheme="majorBidi"/>
        </w:rPr>
      </w:pPr>
      <w:r w:rsidRPr="007803D3">
        <w:rPr>
          <w:rFonts w:asciiTheme="majorBidi" w:hAnsiTheme="majorBidi" w:cstheme="majorBidi"/>
        </w:rPr>
        <w:t>— klepus,</w:t>
      </w:r>
    </w:p>
    <w:p w14:paraId="39211E70" w14:textId="77777777" w:rsidR="00236A0F" w:rsidRPr="007803D3" w:rsidRDefault="00236A0F" w:rsidP="00236A0F">
      <w:pPr>
        <w:pStyle w:val="NormalWeb"/>
        <w:shd w:val="clear" w:color="auto" w:fill="FFFFFF"/>
        <w:spacing w:after="0" w:line="276" w:lineRule="auto"/>
        <w:contextualSpacing/>
        <w:rPr>
          <w:rFonts w:asciiTheme="majorBidi" w:hAnsiTheme="majorBidi" w:cstheme="majorBidi"/>
        </w:rPr>
      </w:pPr>
      <w:r w:rsidRPr="007803D3">
        <w:rPr>
          <w:rFonts w:asciiTheme="majorBidi" w:hAnsiTheme="majorBidi" w:cstheme="majorBidi"/>
        </w:rPr>
        <w:t>— iesnas,</w:t>
      </w:r>
    </w:p>
    <w:p w14:paraId="46997E09" w14:textId="77777777" w:rsidR="00236A0F" w:rsidRPr="007803D3" w:rsidRDefault="00236A0F" w:rsidP="00236A0F">
      <w:pPr>
        <w:pStyle w:val="NormalWeb"/>
        <w:shd w:val="clear" w:color="auto" w:fill="FFFFFF"/>
        <w:spacing w:after="0" w:line="276" w:lineRule="auto"/>
        <w:contextualSpacing/>
        <w:rPr>
          <w:rFonts w:asciiTheme="majorBidi" w:hAnsiTheme="majorBidi" w:cstheme="majorBidi"/>
        </w:rPr>
      </w:pPr>
      <w:r w:rsidRPr="007803D3">
        <w:rPr>
          <w:rFonts w:asciiTheme="majorBidi" w:hAnsiTheme="majorBidi" w:cstheme="majorBidi"/>
        </w:rPr>
        <w:t>— konjunktivīts.</w:t>
      </w:r>
    </w:p>
    <w:p w14:paraId="098506D3" w14:textId="77777777" w:rsidR="00236A0F" w:rsidRPr="007803D3" w:rsidRDefault="00236A0F" w:rsidP="00236A0F">
      <w:pPr>
        <w:pStyle w:val="NormalWeb"/>
        <w:shd w:val="clear" w:color="auto" w:fill="FFFFFF"/>
        <w:spacing w:after="0" w:line="276" w:lineRule="auto"/>
        <w:ind w:firstLine="720"/>
        <w:contextualSpacing/>
        <w:rPr>
          <w:rFonts w:asciiTheme="majorBidi" w:hAnsiTheme="majorBidi" w:cstheme="majorBidi"/>
        </w:rPr>
      </w:pPr>
    </w:p>
    <w:p w14:paraId="4F63812D" w14:textId="77777777" w:rsidR="00236A0F" w:rsidRPr="007803D3" w:rsidRDefault="00236A0F" w:rsidP="00236A0F">
      <w:pPr>
        <w:pStyle w:val="NormalWeb"/>
        <w:shd w:val="clear" w:color="auto" w:fill="FFFFFF"/>
        <w:spacing w:after="0" w:line="276" w:lineRule="auto"/>
        <w:contextualSpacing/>
        <w:rPr>
          <w:rFonts w:asciiTheme="majorBidi" w:hAnsiTheme="majorBidi" w:cstheme="majorBidi"/>
          <w:b/>
          <w:bCs/>
        </w:rPr>
      </w:pPr>
      <w:r w:rsidRPr="007803D3">
        <w:rPr>
          <w:rFonts w:asciiTheme="majorBidi" w:hAnsiTheme="majorBidi" w:cstheme="majorBidi"/>
          <w:b/>
          <w:bCs/>
        </w:rPr>
        <w:t>Laboratoriskie kritēriji</w:t>
      </w:r>
    </w:p>
    <w:p w14:paraId="375F81DA" w14:textId="77777777" w:rsidR="00236A0F" w:rsidRPr="007803D3" w:rsidRDefault="00236A0F" w:rsidP="00236A0F">
      <w:pPr>
        <w:pStyle w:val="NormalWeb"/>
        <w:shd w:val="clear" w:color="auto" w:fill="FFFFFF"/>
        <w:spacing w:after="0" w:line="276" w:lineRule="auto"/>
        <w:contextualSpacing/>
        <w:rPr>
          <w:rFonts w:asciiTheme="majorBidi" w:hAnsiTheme="majorBidi" w:cstheme="majorBidi"/>
        </w:rPr>
      </w:pPr>
      <w:r w:rsidRPr="007803D3">
        <w:rPr>
          <w:rFonts w:asciiTheme="majorBidi" w:hAnsiTheme="majorBidi" w:cstheme="majorBidi"/>
        </w:rPr>
        <w:t>Vismaz viens no šādiem četriem testiem:</w:t>
      </w:r>
    </w:p>
    <w:p w14:paraId="66054E40" w14:textId="77777777" w:rsidR="00236A0F" w:rsidRPr="007803D3" w:rsidRDefault="00236A0F" w:rsidP="00236A0F">
      <w:pPr>
        <w:pStyle w:val="NormalWeb"/>
        <w:shd w:val="clear" w:color="auto" w:fill="FFFFFF"/>
        <w:spacing w:after="0" w:line="276" w:lineRule="auto"/>
        <w:contextualSpacing/>
        <w:rPr>
          <w:rFonts w:asciiTheme="majorBidi" w:hAnsiTheme="majorBidi" w:cstheme="majorBidi"/>
        </w:rPr>
      </w:pPr>
      <w:r w:rsidRPr="007803D3">
        <w:rPr>
          <w:rFonts w:asciiTheme="majorBidi" w:hAnsiTheme="majorBidi" w:cstheme="majorBidi"/>
        </w:rPr>
        <w:t>— masalu vīrusa izolēšana no klīniska parauga,</w:t>
      </w:r>
    </w:p>
    <w:p w14:paraId="7497E715" w14:textId="77777777" w:rsidR="00236A0F" w:rsidRPr="007803D3" w:rsidRDefault="00236A0F" w:rsidP="00236A0F">
      <w:pPr>
        <w:pStyle w:val="NormalWeb"/>
        <w:shd w:val="clear" w:color="auto" w:fill="FFFFFF"/>
        <w:spacing w:after="0" w:line="276" w:lineRule="auto"/>
        <w:contextualSpacing/>
        <w:rPr>
          <w:rFonts w:asciiTheme="majorBidi" w:hAnsiTheme="majorBidi" w:cstheme="majorBidi"/>
        </w:rPr>
      </w:pPr>
      <w:r w:rsidRPr="007803D3">
        <w:rPr>
          <w:rFonts w:asciiTheme="majorBidi" w:hAnsiTheme="majorBidi" w:cstheme="majorBidi"/>
        </w:rPr>
        <w:t>— masalu vīrusa nukleīnskābes noteikšana klīniskā paraugā,</w:t>
      </w:r>
    </w:p>
    <w:p w14:paraId="0288F7CF" w14:textId="77777777" w:rsidR="00236A0F" w:rsidRPr="007803D3" w:rsidRDefault="00236A0F" w:rsidP="00236A0F">
      <w:pPr>
        <w:pStyle w:val="NormalWeb"/>
        <w:shd w:val="clear" w:color="auto" w:fill="FFFFFF"/>
        <w:spacing w:after="0" w:line="276" w:lineRule="auto"/>
        <w:contextualSpacing/>
        <w:rPr>
          <w:rFonts w:asciiTheme="majorBidi" w:hAnsiTheme="majorBidi" w:cstheme="majorBidi"/>
        </w:rPr>
      </w:pPr>
      <w:r w:rsidRPr="007803D3">
        <w:rPr>
          <w:rFonts w:asciiTheme="majorBidi" w:hAnsiTheme="majorBidi" w:cstheme="majorBidi"/>
        </w:rPr>
        <w:t>— akśtai infekcijai raksturīga masalu vīrusa specifisko antivielu veidošanās serumā vai siekalās,</w:t>
      </w:r>
    </w:p>
    <w:p w14:paraId="5B977852" w14:textId="77777777" w:rsidR="00236A0F" w:rsidRPr="007803D3" w:rsidRDefault="00236A0F" w:rsidP="00236A0F">
      <w:pPr>
        <w:pStyle w:val="NormalWeb"/>
        <w:shd w:val="clear" w:color="auto" w:fill="FFFFFF"/>
        <w:spacing w:after="0" w:line="276" w:lineRule="auto"/>
        <w:contextualSpacing/>
        <w:rPr>
          <w:rFonts w:asciiTheme="majorBidi" w:hAnsiTheme="majorBidi" w:cstheme="majorBidi"/>
        </w:rPr>
      </w:pPr>
      <w:r w:rsidRPr="007803D3">
        <w:rPr>
          <w:rFonts w:asciiTheme="majorBidi" w:hAnsiTheme="majorBidi" w:cstheme="majorBidi"/>
        </w:rPr>
        <w:t>— masalu vīrusa antigēna noteikšana ar DFA metodi klīniskā paraugā, izmantojot masalām specifiskas monoklonālās antivielas.</w:t>
      </w:r>
    </w:p>
    <w:p w14:paraId="5CEFBD81" w14:textId="77777777" w:rsidR="00236A0F" w:rsidRPr="007803D3" w:rsidRDefault="00236A0F" w:rsidP="00236A0F">
      <w:pPr>
        <w:pStyle w:val="NormalWeb"/>
        <w:shd w:val="clear" w:color="auto" w:fill="FFFFFF"/>
        <w:spacing w:after="0" w:line="276" w:lineRule="auto"/>
        <w:contextualSpacing/>
        <w:rPr>
          <w:rFonts w:asciiTheme="majorBidi" w:hAnsiTheme="majorBidi" w:cstheme="majorBidi"/>
        </w:rPr>
      </w:pPr>
    </w:p>
    <w:p w14:paraId="7445D4ED" w14:textId="77777777" w:rsidR="00236A0F" w:rsidRPr="007803D3" w:rsidRDefault="00236A0F" w:rsidP="00236A0F">
      <w:pPr>
        <w:pStyle w:val="NormalWeb"/>
        <w:shd w:val="clear" w:color="auto" w:fill="FFFFFF"/>
        <w:spacing w:after="0" w:line="276" w:lineRule="auto"/>
        <w:contextualSpacing/>
        <w:rPr>
          <w:rFonts w:asciiTheme="majorBidi" w:hAnsiTheme="majorBidi" w:cstheme="majorBidi"/>
        </w:rPr>
      </w:pPr>
      <w:r w:rsidRPr="007803D3">
        <w:rPr>
          <w:rFonts w:asciiTheme="majorBidi" w:hAnsiTheme="majorBidi" w:cstheme="majorBidi"/>
        </w:rPr>
        <w:t>Laboratorisko testu rezultāti jāinterpretē saskaĸā ar vakcinācijas statusu. Nesenas vakcinācijas gadījumā jāpĆta, vai nav savvaļas vīrusa.</w:t>
      </w:r>
    </w:p>
    <w:p w14:paraId="36068AD9" w14:textId="77777777" w:rsidR="00236A0F" w:rsidRPr="007803D3" w:rsidRDefault="00236A0F" w:rsidP="00236A0F">
      <w:pPr>
        <w:pStyle w:val="NormalWeb"/>
        <w:shd w:val="clear" w:color="auto" w:fill="FFFFFF"/>
        <w:spacing w:after="0" w:line="276" w:lineRule="auto"/>
        <w:ind w:firstLine="720"/>
        <w:contextualSpacing/>
        <w:rPr>
          <w:rFonts w:asciiTheme="majorBidi" w:hAnsiTheme="majorBidi" w:cstheme="majorBidi"/>
        </w:rPr>
      </w:pPr>
    </w:p>
    <w:p w14:paraId="34097F53" w14:textId="77777777" w:rsidR="00236A0F" w:rsidRPr="007803D3" w:rsidRDefault="00236A0F" w:rsidP="00236A0F">
      <w:pPr>
        <w:pStyle w:val="NormalWeb"/>
        <w:shd w:val="clear" w:color="auto" w:fill="FFFFFF"/>
        <w:spacing w:after="0" w:line="276" w:lineRule="auto"/>
        <w:contextualSpacing/>
        <w:rPr>
          <w:rFonts w:asciiTheme="majorBidi" w:hAnsiTheme="majorBidi" w:cstheme="majorBidi"/>
          <w:b/>
          <w:bCs/>
        </w:rPr>
      </w:pPr>
      <w:r w:rsidRPr="007803D3">
        <w:rPr>
          <w:rFonts w:asciiTheme="majorBidi" w:hAnsiTheme="majorBidi" w:cstheme="majorBidi"/>
          <w:b/>
          <w:bCs/>
        </w:rPr>
        <w:t>Epidemioloģiskie kritēriji</w:t>
      </w:r>
    </w:p>
    <w:p w14:paraId="6B665A7B" w14:textId="77777777" w:rsidR="00236A0F" w:rsidRPr="007803D3" w:rsidRDefault="00236A0F" w:rsidP="00236A0F">
      <w:pPr>
        <w:pStyle w:val="NormalWeb"/>
        <w:shd w:val="clear" w:color="auto" w:fill="FFFFFF"/>
        <w:spacing w:after="0" w:line="276" w:lineRule="auto"/>
        <w:contextualSpacing/>
        <w:rPr>
          <w:rFonts w:asciiTheme="majorBidi" w:hAnsiTheme="majorBidi" w:cstheme="majorBidi"/>
        </w:rPr>
      </w:pPr>
      <w:r w:rsidRPr="007803D3">
        <w:rPr>
          <w:rFonts w:asciiTheme="majorBidi" w:hAnsiTheme="majorBidi" w:cstheme="majorBidi"/>
        </w:rPr>
        <w:t>Epidemioloģiska saikne ar pārnesi no cilvēka uz cilvēku.</w:t>
      </w:r>
    </w:p>
    <w:p w14:paraId="50AA1DE3" w14:textId="77777777" w:rsidR="00236A0F" w:rsidRPr="007803D3" w:rsidRDefault="00236A0F" w:rsidP="00236A0F">
      <w:pPr>
        <w:pStyle w:val="NormalWeb"/>
        <w:shd w:val="clear" w:color="auto" w:fill="FFFFFF"/>
        <w:spacing w:after="0" w:line="276" w:lineRule="auto"/>
        <w:contextualSpacing/>
        <w:rPr>
          <w:rFonts w:asciiTheme="majorBidi" w:hAnsiTheme="majorBidi" w:cstheme="majorBidi"/>
        </w:rPr>
      </w:pPr>
    </w:p>
    <w:p w14:paraId="29497B63" w14:textId="77777777" w:rsidR="00236A0F" w:rsidRPr="007803D3" w:rsidRDefault="00236A0F" w:rsidP="00236A0F">
      <w:pPr>
        <w:pStyle w:val="NormalWeb"/>
        <w:shd w:val="clear" w:color="auto" w:fill="FFFFFF"/>
        <w:spacing w:after="0" w:line="276" w:lineRule="auto"/>
        <w:contextualSpacing/>
        <w:rPr>
          <w:rFonts w:asciiTheme="majorBidi" w:hAnsiTheme="majorBidi" w:cstheme="majorBidi"/>
        </w:rPr>
      </w:pPr>
      <w:r w:rsidRPr="007803D3">
        <w:rPr>
          <w:rFonts w:asciiTheme="majorBidi" w:hAnsiTheme="majorBidi" w:cstheme="majorBidi"/>
        </w:rPr>
        <w:t>Gadījumu klasifikācija</w:t>
      </w:r>
    </w:p>
    <w:p w14:paraId="030F4A5A" w14:textId="77777777" w:rsidR="00236A0F" w:rsidRPr="007803D3" w:rsidRDefault="00236A0F" w:rsidP="00236A0F">
      <w:pPr>
        <w:pStyle w:val="NormalWeb"/>
        <w:shd w:val="clear" w:color="auto" w:fill="FFFFFF" w:themeFill="background1"/>
        <w:spacing w:after="0" w:line="276" w:lineRule="auto"/>
        <w:contextualSpacing/>
        <w:rPr>
          <w:rFonts w:asciiTheme="majorBidi" w:hAnsiTheme="majorBidi" w:cstheme="majorBidi"/>
        </w:rPr>
      </w:pPr>
      <w:r w:rsidRPr="007803D3">
        <w:rPr>
          <w:rFonts w:asciiTheme="majorBidi" w:hAnsiTheme="majorBidi" w:cstheme="majorBidi"/>
        </w:rPr>
        <w:t xml:space="preserve">A. </w:t>
      </w:r>
      <w:r w:rsidRPr="007803D3">
        <w:rPr>
          <w:rFonts w:asciiTheme="majorBidi" w:hAnsiTheme="majorBidi" w:cstheme="majorBidi"/>
          <w:i/>
          <w:iCs/>
        </w:rPr>
        <w:t>Iespējams (aizdomīgs) gadījums</w:t>
      </w:r>
    </w:p>
    <w:p w14:paraId="7CA419CF" w14:textId="77777777" w:rsidR="00236A0F" w:rsidRPr="007803D3" w:rsidRDefault="00236A0F" w:rsidP="00236A0F">
      <w:pPr>
        <w:pStyle w:val="NormalWeb"/>
        <w:shd w:val="clear" w:color="auto" w:fill="FFFFFF"/>
        <w:spacing w:after="0" w:line="276" w:lineRule="auto"/>
        <w:contextualSpacing/>
        <w:rPr>
          <w:rFonts w:asciiTheme="majorBidi" w:hAnsiTheme="majorBidi" w:cstheme="majorBidi"/>
        </w:rPr>
      </w:pPr>
      <w:r w:rsidRPr="007803D3">
        <w:rPr>
          <w:rFonts w:asciiTheme="majorBidi" w:hAnsiTheme="majorBidi" w:cstheme="majorBidi"/>
        </w:rPr>
        <w:t>Jebkura persona, kas atbilst klīniskajiem kritērijiem.</w:t>
      </w:r>
    </w:p>
    <w:p w14:paraId="3E7F2678" w14:textId="77777777" w:rsidR="00236A0F" w:rsidRPr="007803D3" w:rsidRDefault="00236A0F" w:rsidP="00236A0F">
      <w:pPr>
        <w:pStyle w:val="NormalWeb"/>
        <w:shd w:val="clear" w:color="auto" w:fill="FFFFFF"/>
        <w:spacing w:after="0" w:line="276" w:lineRule="auto"/>
        <w:contextualSpacing/>
        <w:rPr>
          <w:rFonts w:asciiTheme="majorBidi" w:hAnsiTheme="majorBidi" w:cstheme="majorBidi"/>
        </w:rPr>
      </w:pPr>
      <w:r w:rsidRPr="007803D3">
        <w:rPr>
          <w:rFonts w:asciiTheme="majorBidi" w:hAnsiTheme="majorBidi" w:cstheme="majorBidi"/>
        </w:rPr>
        <w:t xml:space="preserve">B. </w:t>
      </w:r>
      <w:r w:rsidRPr="007803D3">
        <w:rPr>
          <w:rFonts w:asciiTheme="majorBidi" w:hAnsiTheme="majorBidi" w:cstheme="majorBidi"/>
          <w:i/>
          <w:iCs/>
        </w:rPr>
        <w:t>Varbūtīgs gadījums</w:t>
      </w:r>
    </w:p>
    <w:p w14:paraId="2EF39559" w14:textId="77777777" w:rsidR="00236A0F" w:rsidRPr="007803D3" w:rsidRDefault="00236A0F" w:rsidP="00236A0F">
      <w:pPr>
        <w:pStyle w:val="NormalWeb"/>
        <w:shd w:val="clear" w:color="auto" w:fill="FFFFFF"/>
        <w:spacing w:after="0" w:line="276" w:lineRule="auto"/>
        <w:contextualSpacing/>
        <w:rPr>
          <w:rFonts w:asciiTheme="majorBidi" w:hAnsiTheme="majorBidi" w:cstheme="majorBidi"/>
        </w:rPr>
      </w:pPr>
      <w:r w:rsidRPr="007803D3">
        <w:rPr>
          <w:rFonts w:asciiTheme="majorBidi" w:hAnsiTheme="majorBidi" w:cstheme="majorBidi"/>
        </w:rPr>
        <w:t>Jebkura persona, kas atbilst klīniskajiem kritērijiem un kam ir epidemioloģiska saikne.</w:t>
      </w:r>
    </w:p>
    <w:p w14:paraId="51B5434F" w14:textId="77777777" w:rsidR="00236A0F" w:rsidRPr="007803D3" w:rsidRDefault="00236A0F" w:rsidP="00236A0F">
      <w:pPr>
        <w:pStyle w:val="NormalWeb"/>
        <w:shd w:val="clear" w:color="auto" w:fill="FFFFFF"/>
        <w:spacing w:after="0" w:line="276" w:lineRule="auto"/>
        <w:contextualSpacing/>
        <w:rPr>
          <w:rFonts w:asciiTheme="majorBidi" w:hAnsiTheme="majorBidi" w:cstheme="majorBidi"/>
        </w:rPr>
      </w:pPr>
      <w:r w:rsidRPr="007803D3">
        <w:rPr>
          <w:rFonts w:asciiTheme="majorBidi" w:hAnsiTheme="majorBidi" w:cstheme="majorBidi"/>
        </w:rPr>
        <w:t xml:space="preserve">C. </w:t>
      </w:r>
      <w:r w:rsidRPr="007803D3">
        <w:rPr>
          <w:rFonts w:asciiTheme="majorBidi" w:hAnsiTheme="majorBidi" w:cstheme="majorBidi"/>
          <w:i/>
          <w:iCs/>
        </w:rPr>
        <w:t>Apstiprināts gadījums</w:t>
      </w:r>
    </w:p>
    <w:p w14:paraId="31E40E95" w14:textId="77777777" w:rsidR="00236A0F" w:rsidRPr="007803D3" w:rsidRDefault="00236A0F" w:rsidP="00236A0F">
      <w:pPr>
        <w:pStyle w:val="NormalWeb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ajorBidi" w:hAnsiTheme="majorBidi" w:cstheme="majorBidi"/>
        </w:rPr>
      </w:pPr>
      <w:r w:rsidRPr="007803D3">
        <w:rPr>
          <w:rFonts w:asciiTheme="majorBidi" w:hAnsiTheme="majorBidi" w:cstheme="majorBidi"/>
        </w:rPr>
        <w:t>Jebkura persona, kas nav nesen vakcinēta un atbilst klīniskajiem un laboratoriskajiem kritērijiem.</w:t>
      </w:r>
    </w:p>
    <w:p w14:paraId="36EF59FD" w14:textId="77777777" w:rsidR="0012675D" w:rsidRDefault="0012675D"/>
    <w:sectPr w:rsidR="001267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A0F"/>
    <w:rsid w:val="0012675D"/>
    <w:rsid w:val="0023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11A7D"/>
  <w15:chartTrackingRefBased/>
  <w15:docId w15:val="{60E0921D-0CE3-4C8F-AFBF-A23C0A81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A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6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907</Words>
  <Characters>517</Characters>
  <Application>Microsoft Office Word</Application>
  <DocSecurity>0</DocSecurity>
  <Lines>4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Krauze</dc:creator>
  <cp:keywords/>
  <dc:description/>
  <cp:lastModifiedBy>Linda Krauze</cp:lastModifiedBy>
  <cp:revision>1</cp:revision>
  <dcterms:created xsi:type="dcterms:W3CDTF">2023-02-24T12:47:00Z</dcterms:created>
  <dcterms:modified xsi:type="dcterms:W3CDTF">2023-02-24T12:48:00Z</dcterms:modified>
</cp:coreProperties>
</file>