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87EF" w14:textId="77777777" w:rsidR="000A293A" w:rsidRPr="008B1353" w:rsidRDefault="000F0752" w:rsidP="005D64A2">
      <w:pPr>
        <w:spacing w:after="0" w:line="240" w:lineRule="auto"/>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6</w:t>
      </w:r>
      <w:r w:rsidR="001349FD">
        <w:rPr>
          <w:rFonts w:ascii="Times New Roman" w:eastAsia="Times New Roman" w:hAnsi="Times New Roman"/>
          <w:i/>
          <w:sz w:val="24"/>
          <w:szCs w:val="24"/>
          <w:lang w:bidi="en-US"/>
        </w:rPr>
        <w:t>.</w:t>
      </w:r>
      <w:r w:rsidR="000A293A" w:rsidRPr="008B1353">
        <w:rPr>
          <w:rFonts w:ascii="Times New Roman" w:eastAsia="Times New Roman" w:hAnsi="Times New Roman"/>
          <w:i/>
          <w:sz w:val="24"/>
          <w:szCs w:val="24"/>
          <w:lang w:bidi="en-US"/>
        </w:rPr>
        <w:t>pielikums</w:t>
      </w:r>
    </w:p>
    <w:p w14:paraId="3572BD9B" w14:textId="77777777" w:rsidR="00090DC4" w:rsidRDefault="000A293A" w:rsidP="000A293A">
      <w:pPr>
        <w:spacing w:after="0" w:line="240" w:lineRule="auto"/>
        <w:ind w:firstLine="360"/>
        <w:jc w:val="right"/>
        <w:rPr>
          <w:rFonts w:ascii="Times New Roman" w:eastAsia="Times New Roman" w:hAnsi="Times New Roman"/>
          <w:i/>
          <w:sz w:val="24"/>
          <w:szCs w:val="24"/>
          <w:lang w:bidi="en-US"/>
        </w:rPr>
      </w:pPr>
      <w:r w:rsidRPr="008B1353">
        <w:rPr>
          <w:rFonts w:ascii="Times New Roman" w:eastAsia="Times New Roman" w:hAnsi="Times New Roman"/>
          <w:i/>
          <w:sz w:val="24"/>
          <w:szCs w:val="24"/>
          <w:lang w:bidi="en-US"/>
        </w:rPr>
        <w:t xml:space="preserve">līgumam par </w:t>
      </w:r>
      <w:r>
        <w:rPr>
          <w:rFonts w:ascii="Times New Roman" w:eastAsia="Times New Roman" w:hAnsi="Times New Roman"/>
          <w:i/>
          <w:sz w:val="24"/>
          <w:szCs w:val="24"/>
          <w:lang w:bidi="en-US"/>
        </w:rPr>
        <w:t xml:space="preserve"> </w:t>
      </w:r>
      <w:r w:rsidR="000F0752">
        <w:rPr>
          <w:rFonts w:ascii="Times New Roman" w:eastAsia="Times New Roman" w:hAnsi="Times New Roman"/>
          <w:i/>
          <w:sz w:val="24"/>
          <w:szCs w:val="24"/>
          <w:lang w:bidi="en-US"/>
        </w:rPr>
        <w:t>stacionār</w:t>
      </w:r>
      <w:r w:rsidR="00E408CF">
        <w:rPr>
          <w:rFonts w:ascii="Times New Roman" w:eastAsia="Times New Roman" w:hAnsi="Times New Roman"/>
          <w:i/>
          <w:sz w:val="24"/>
          <w:szCs w:val="24"/>
          <w:lang w:bidi="en-US"/>
        </w:rPr>
        <w:t>ās</w:t>
      </w:r>
      <w:r>
        <w:rPr>
          <w:rFonts w:ascii="Times New Roman" w:eastAsia="Times New Roman" w:hAnsi="Times New Roman"/>
          <w:i/>
          <w:sz w:val="24"/>
          <w:szCs w:val="24"/>
          <w:lang w:bidi="en-US"/>
        </w:rPr>
        <w:t xml:space="preserve"> </w:t>
      </w:r>
    </w:p>
    <w:p w14:paraId="0DE0BEB9" w14:textId="77777777" w:rsidR="000A293A" w:rsidRPr="008B1353" w:rsidRDefault="001349FD" w:rsidP="000A293A">
      <w:pPr>
        <w:spacing w:after="0" w:line="240" w:lineRule="auto"/>
        <w:ind w:firstLine="360"/>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v</w:t>
      </w:r>
      <w:r w:rsidR="000A293A" w:rsidRPr="008B1353">
        <w:rPr>
          <w:rFonts w:ascii="Times New Roman" w:eastAsia="Times New Roman" w:hAnsi="Times New Roman"/>
          <w:i/>
          <w:sz w:val="24"/>
          <w:szCs w:val="24"/>
          <w:lang w:bidi="en-US"/>
        </w:rPr>
        <w:t>eselības</w:t>
      </w:r>
      <w:r w:rsidR="000A293A">
        <w:rPr>
          <w:rFonts w:ascii="Times New Roman" w:eastAsia="Times New Roman" w:hAnsi="Times New Roman"/>
          <w:i/>
          <w:sz w:val="24"/>
          <w:szCs w:val="24"/>
          <w:lang w:bidi="en-US"/>
        </w:rPr>
        <w:t xml:space="preserve"> </w:t>
      </w:r>
      <w:r w:rsidR="000A293A" w:rsidRPr="008B1353">
        <w:rPr>
          <w:rFonts w:ascii="Times New Roman" w:eastAsia="Times New Roman" w:hAnsi="Times New Roman"/>
          <w:i/>
          <w:sz w:val="24"/>
          <w:szCs w:val="24"/>
          <w:lang w:bidi="en-US"/>
        </w:rPr>
        <w:t>aprūpes pakalpojumu sniegšanu un apmaksu</w:t>
      </w:r>
    </w:p>
    <w:p w14:paraId="020189C4" w14:textId="77777777" w:rsidR="000A293A" w:rsidRPr="008B1353" w:rsidRDefault="000A293A" w:rsidP="000A293A">
      <w:pPr>
        <w:spacing w:after="0" w:line="240" w:lineRule="auto"/>
        <w:jc w:val="both"/>
        <w:rPr>
          <w:rFonts w:ascii="Times New Roman" w:eastAsia="Times New Roman" w:hAnsi="Times New Roman"/>
          <w:sz w:val="24"/>
          <w:szCs w:val="24"/>
          <w:lang w:bidi="en-US"/>
        </w:rPr>
      </w:pPr>
    </w:p>
    <w:p w14:paraId="100ECD6B" w14:textId="77777777" w:rsidR="00780C88" w:rsidRDefault="00780C88" w:rsidP="00780C88">
      <w:pPr>
        <w:spacing w:after="0" w:line="240" w:lineRule="auto"/>
        <w:ind w:left="-142" w:hanging="284"/>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Infrastruktūras attīstībai paredzētā finansējuma aprēķināšanas, </w:t>
      </w:r>
    </w:p>
    <w:p w14:paraId="22EB319B" w14:textId="77777777" w:rsidR="00780C88" w:rsidRDefault="00780C88" w:rsidP="00780C88">
      <w:pPr>
        <w:spacing w:after="0" w:line="240" w:lineRule="auto"/>
        <w:ind w:left="-142" w:hanging="284"/>
        <w:contextualSpacing/>
        <w:jc w:val="center"/>
        <w:rPr>
          <w:rFonts w:ascii="Times New Roman" w:eastAsia="Times New Roman" w:hAnsi="Times New Roman"/>
          <w:b/>
          <w:sz w:val="28"/>
          <w:szCs w:val="28"/>
        </w:rPr>
      </w:pPr>
      <w:r>
        <w:rPr>
          <w:rFonts w:ascii="Times New Roman" w:eastAsia="Times New Roman" w:hAnsi="Times New Roman"/>
          <w:b/>
          <w:sz w:val="28"/>
          <w:szCs w:val="28"/>
        </w:rPr>
        <w:t>kontroles un pārskatīšanas, pārmaksas novēršanas un atmaksāšanas kārtība</w:t>
      </w:r>
    </w:p>
    <w:p w14:paraId="33DAC679" w14:textId="77777777" w:rsidR="000A293A" w:rsidRDefault="000A293A" w:rsidP="000A293A">
      <w:pPr>
        <w:spacing w:after="0" w:line="240" w:lineRule="auto"/>
        <w:ind w:left="-142" w:hanging="284"/>
        <w:contextualSpacing/>
        <w:jc w:val="both"/>
        <w:rPr>
          <w:rFonts w:ascii="Times New Roman" w:eastAsia="Times New Roman" w:hAnsi="Times New Roman"/>
          <w:sz w:val="24"/>
          <w:szCs w:val="24"/>
        </w:rPr>
      </w:pPr>
    </w:p>
    <w:p w14:paraId="6AFCEE84" w14:textId="77777777" w:rsidR="000A293A" w:rsidRDefault="000A293A" w:rsidP="00617B82">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Pr>
          <w:rFonts w:ascii="Times New Roman" w:eastAsia="Times New Roman" w:hAnsi="Times New Roman"/>
          <w:sz w:val="24"/>
          <w:szCs w:val="24"/>
        </w:rPr>
        <w:t>Eiropas Savienības (turpmāk – ES) fondu d</w:t>
      </w:r>
      <w:r w:rsidRPr="000A293A">
        <w:rPr>
          <w:rFonts w:ascii="Times New Roman" w:eastAsia="Times New Roman" w:hAnsi="Times New Roman"/>
          <w:sz w:val="24"/>
          <w:szCs w:val="24"/>
        </w:rPr>
        <w:t xml:space="preserve">arbības programmas „Izaugsme un nodarbinātība” specifiskā atbalsta mērķa „Uzlabot kvalitatīvu veselības aprūpes pakalpojumu pieejamību, jo īpaši sociālās, teritoriālās atstumtības un nabadzības riskam pakļautajiem iedzīvotājiem, attīstot veselības aprūpes infrastruktūru” </w:t>
      </w:r>
      <w:r w:rsidR="00662EC1" w:rsidRPr="00662EC1">
        <w:rPr>
          <w:rFonts w:ascii="Times New Roman" w:eastAsia="Times New Roman" w:hAnsi="Times New Roman"/>
          <w:i/>
          <w:sz w:val="20"/>
          <w:szCs w:val="20"/>
        </w:rPr>
        <w:t>vai</w:t>
      </w:r>
      <w:r w:rsidR="00662EC1" w:rsidRPr="00662EC1">
        <w:rPr>
          <w:rFonts w:ascii="Times New Roman" w:eastAsia="Times New Roman" w:hAnsi="Times New Roman"/>
          <w:i/>
          <w:sz w:val="24"/>
          <w:szCs w:val="24"/>
        </w:rPr>
        <w:t xml:space="preserve"> </w:t>
      </w:r>
      <w:r w:rsidR="00662EC1" w:rsidRPr="000A293A">
        <w:rPr>
          <w:rFonts w:ascii="Times New Roman" w:eastAsia="Times New Roman" w:hAnsi="Times New Roman"/>
          <w:sz w:val="24"/>
          <w:szCs w:val="24"/>
        </w:rPr>
        <w:t xml:space="preserve">specifiskā atbalsta mērķa </w:t>
      </w:r>
      <w:r w:rsidR="00662EC1" w:rsidRPr="002F4C00">
        <w:rPr>
          <w:rFonts w:ascii="Times New Roman" w:hAnsi="Times New Roman" w:cs="Times New Roman"/>
          <w:sz w:val="24"/>
          <w:szCs w:val="24"/>
        </w:rPr>
        <w:t>"Veicināt energoefektivitātes paaugstināšanu valsts un dzīvojamās ēkās"</w:t>
      </w:r>
      <w:r w:rsidR="00662EC1" w:rsidRPr="008144AB">
        <w:rPr>
          <w:rFonts w:ascii="Times New Roman" w:eastAsia="Times New Roman" w:hAnsi="Times New Roman"/>
          <w:sz w:val="24"/>
          <w:szCs w:val="24"/>
        </w:rPr>
        <w:t xml:space="preserve"> </w:t>
      </w:r>
      <w:r w:rsidRPr="008144AB">
        <w:rPr>
          <w:rFonts w:ascii="Times New Roman" w:eastAsia="Times New Roman" w:hAnsi="Times New Roman"/>
          <w:sz w:val="24"/>
          <w:szCs w:val="24"/>
        </w:rPr>
        <w:t>(turpmāk – ES fonda aktivitāte) ietvaros IZPILDĪTĀJAM ir piešķirts atbalsts veselības aprūpes infrastruktūras attīstībai.</w:t>
      </w:r>
    </w:p>
    <w:p w14:paraId="045720A3" w14:textId="77777777"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rPr>
      </w:pPr>
    </w:p>
    <w:p w14:paraId="1D8BC93C" w14:textId="77777777" w:rsidR="000A293A"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570E3D">
        <w:rPr>
          <w:rFonts w:ascii="Times New Roman" w:eastAsia="Times New Roman" w:hAnsi="Times New Roman"/>
          <w:sz w:val="24"/>
          <w:szCs w:val="24"/>
        </w:rPr>
        <w:t>IZPILDĪTĀJS</w:t>
      </w:r>
      <w:r>
        <w:rPr>
          <w:rFonts w:ascii="Times New Roman" w:eastAsia="Times New Roman" w:hAnsi="Times New Roman"/>
          <w:sz w:val="24"/>
          <w:szCs w:val="24"/>
        </w:rPr>
        <w:t xml:space="preserve"> apņemas ievērot </w:t>
      </w:r>
      <w:r w:rsidR="006F60AA">
        <w:rPr>
          <w:rFonts w:ascii="Times New Roman" w:eastAsia="Times New Roman" w:hAnsi="Times New Roman"/>
          <w:sz w:val="24"/>
          <w:szCs w:val="24"/>
        </w:rPr>
        <w:t xml:space="preserve">normatīvajos aktos par ES fonda aktivitātēm </w:t>
      </w:r>
      <w:r>
        <w:rPr>
          <w:rFonts w:ascii="Times New Roman" w:eastAsia="Times New Roman" w:hAnsi="Times New Roman"/>
          <w:sz w:val="24"/>
          <w:szCs w:val="24"/>
        </w:rPr>
        <w:t xml:space="preserve">noteiktās </w:t>
      </w:r>
      <w:r w:rsidR="00B248C6">
        <w:rPr>
          <w:rFonts w:ascii="Times New Roman" w:eastAsia="Times New Roman" w:hAnsi="Times New Roman"/>
          <w:sz w:val="24"/>
          <w:szCs w:val="24"/>
        </w:rPr>
        <w:t>prasības</w:t>
      </w:r>
      <w:r>
        <w:rPr>
          <w:rFonts w:ascii="Times New Roman" w:eastAsia="Times New Roman" w:hAnsi="Times New Roman"/>
          <w:sz w:val="24"/>
          <w:szCs w:val="24"/>
        </w:rPr>
        <w:t>.</w:t>
      </w:r>
    </w:p>
    <w:p w14:paraId="16B3C93B" w14:textId="77777777"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rPr>
      </w:pPr>
    </w:p>
    <w:p w14:paraId="0A3BAC63" w14:textId="77777777" w:rsidR="000A293A" w:rsidRPr="008B1353"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IZPILDĪTĀJAM ir pienākums:</w:t>
      </w:r>
    </w:p>
    <w:p w14:paraId="2E50FE2D" w14:textId="77777777"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skaidri nodalīt valsts apmaksāto veselības aprūpes pakalpojumu sniegšanu no citu darbību veikšanas;</w:t>
      </w:r>
    </w:p>
    <w:p w14:paraId="7433BE44" w14:textId="77777777"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par valsts apmaksāto veselības aprūpes pakalpojumu sniegšanu gūtos ienākumus izmantot, lai segtu tikai tās izmaksas, kas saistītas ar valsts apmaksāto veselības aprūpes pakalpojumu sniegšanu;</w:t>
      </w:r>
    </w:p>
    <w:p w14:paraId="00172035" w14:textId="77777777" w:rsidR="00137A20" w:rsidRDefault="000A293A" w:rsidP="00B248C6">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nodrošināt infrastruktūras, kurai sniegts atbalsts valsts apmaksāto veselības aprūpes pakalpojumu sniegšanai un citu darbību veikšanai, darba laika uzskaiti.</w:t>
      </w:r>
    </w:p>
    <w:p w14:paraId="123B3B24" w14:textId="77777777" w:rsidR="005D64A2" w:rsidRPr="005D64A2" w:rsidRDefault="005D64A2" w:rsidP="005D64A2">
      <w:pPr>
        <w:tabs>
          <w:tab w:val="left" w:pos="709"/>
        </w:tabs>
        <w:spacing w:after="0" w:line="240" w:lineRule="auto"/>
        <w:ind w:left="-142"/>
        <w:jc w:val="both"/>
        <w:rPr>
          <w:rFonts w:ascii="Times New Roman" w:eastAsia="Times New Roman" w:hAnsi="Times New Roman"/>
          <w:sz w:val="16"/>
          <w:szCs w:val="16"/>
        </w:rPr>
      </w:pPr>
    </w:p>
    <w:p w14:paraId="05589C2A" w14:textId="77777777"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 xml:space="preserve">Specifiskā atbalsta apmēru aprēķina </w:t>
      </w:r>
      <w:r w:rsidR="00943D2C">
        <w:rPr>
          <w:rFonts w:ascii="Times New Roman" w:eastAsia="Times New Roman" w:hAnsi="Times New Roman"/>
          <w:sz w:val="24"/>
          <w:szCs w:val="24"/>
          <w:lang w:bidi="en-US"/>
        </w:rPr>
        <w:t>atbilstoši normatīvaj</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akt</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par ES fonda aktivitātēm</w:t>
      </w:r>
      <w:r w:rsidR="009D46D8">
        <w:rPr>
          <w:rFonts w:ascii="Times New Roman" w:eastAsia="Times New Roman" w:hAnsi="Times New Roman"/>
          <w:sz w:val="24"/>
          <w:szCs w:val="24"/>
          <w:lang w:bidi="en-US"/>
        </w:rPr>
        <w:t xml:space="preserve"> noteiktaja</w:t>
      </w:r>
      <w:r w:rsidR="00B248C6">
        <w:rPr>
          <w:rFonts w:ascii="Times New Roman" w:eastAsia="Times New Roman" w:hAnsi="Times New Roman"/>
          <w:sz w:val="24"/>
          <w:szCs w:val="24"/>
          <w:lang w:bidi="en-US"/>
        </w:rPr>
        <w:t>i</w:t>
      </w:r>
      <w:r w:rsidR="009D46D8">
        <w:rPr>
          <w:rFonts w:ascii="Times New Roman" w:eastAsia="Times New Roman" w:hAnsi="Times New Roman"/>
          <w:sz w:val="24"/>
          <w:szCs w:val="24"/>
          <w:lang w:bidi="en-US"/>
        </w:rPr>
        <w:t xml:space="preserve"> aprēķin</w:t>
      </w:r>
      <w:r w:rsidR="00B248C6">
        <w:rPr>
          <w:rFonts w:ascii="Times New Roman" w:eastAsia="Times New Roman" w:hAnsi="Times New Roman"/>
          <w:sz w:val="24"/>
          <w:szCs w:val="24"/>
          <w:lang w:bidi="en-US"/>
        </w:rPr>
        <w:t>āšanas kārtībai</w:t>
      </w:r>
      <w:r w:rsidR="00943D2C">
        <w:rPr>
          <w:rFonts w:ascii="Times New Roman" w:eastAsia="Times New Roman" w:hAnsi="Times New Roman"/>
          <w:sz w:val="24"/>
          <w:szCs w:val="24"/>
          <w:lang w:bidi="en-US"/>
        </w:rPr>
        <w:t xml:space="preserve">. </w:t>
      </w:r>
    </w:p>
    <w:p w14:paraId="336BAE5A" w14:textId="77777777"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lang w:bidi="en-US"/>
        </w:rPr>
      </w:pPr>
    </w:p>
    <w:p w14:paraId="450C71BB" w14:textId="77777777" w:rsidR="00DC1EB9"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Specifiskā atbalsta izlietošanas kontroli</w:t>
      </w:r>
      <w:r w:rsidR="005A624A" w:rsidRPr="00B248C6">
        <w:rPr>
          <w:rFonts w:ascii="Times New Roman" w:eastAsia="Times New Roman" w:hAnsi="Times New Roman"/>
          <w:sz w:val="24"/>
          <w:szCs w:val="24"/>
          <w:lang w:bidi="en-US"/>
        </w:rPr>
        <w:t xml:space="preserve">, </w:t>
      </w:r>
      <w:r w:rsidRPr="00B248C6">
        <w:rPr>
          <w:rFonts w:ascii="Times New Roman" w:eastAsia="Times New Roman" w:hAnsi="Times New Roman"/>
          <w:sz w:val="24"/>
          <w:szCs w:val="24"/>
          <w:lang w:bidi="en-US"/>
        </w:rPr>
        <w:t>pārskatīšanu</w:t>
      </w:r>
      <w:r w:rsidR="005A624A" w:rsidRPr="00B248C6">
        <w:rPr>
          <w:rFonts w:ascii="Times New Roman" w:eastAsia="Times New Roman" w:hAnsi="Times New Roman"/>
          <w:sz w:val="24"/>
          <w:szCs w:val="24"/>
          <w:lang w:bidi="en-US"/>
        </w:rPr>
        <w:t>, pārmaksas novēršanu un atmaksāšanu</w:t>
      </w:r>
      <w:r w:rsidRPr="00B248C6">
        <w:rPr>
          <w:rFonts w:ascii="Times New Roman" w:eastAsia="Times New Roman" w:hAnsi="Times New Roman"/>
          <w:sz w:val="24"/>
          <w:szCs w:val="24"/>
          <w:lang w:bidi="en-US"/>
        </w:rPr>
        <w:t xml:space="preserve"> </w:t>
      </w:r>
      <w:r w:rsidR="005A624A" w:rsidRPr="00B248C6">
        <w:rPr>
          <w:rFonts w:ascii="Times New Roman" w:eastAsia="Times New Roman" w:hAnsi="Times New Roman"/>
          <w:sz w:val="24"/>
          <w:szCs w:val="24"/>
          <w:lang w:bidi="en-US"/>
        </w:rPr>
        <w:t xml:space="preserve">nodrošina </w:t>
      </w:r>
      <w:r w:rsidRPr="00B248C6">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lang w:bidi="en-US"/>
        </w:rPr>
        <w:t>normatīva</w:t>
      </w:r>
      <w:r w:rsidR="00D770F2">
        <w:rPr>
          <w:rFonts w:ascii="Times New Roman" w:eastAsia="Times New Roman" w:hAnsi="Times New Roman"/>
          <w:sz w:val="24"/>
          <w:szCs w:val="24"/>
          <w:lang w:bidi="en-US"/>
        </w:rPr>
        <w:t>jos</w:t>
      </w:r>
      <w:r w:rsidR="005A624A" w:rsidRPr="00B248C6">
        <w:rPr>
          <w:rFonts w:ascii="Times New Roman" w:eastAsia="Times New Roman" w:hAnsi="Times New Roman"/>
          <w:sz w:val="24"/>
          <w:szCs w:val="24"/>
          <w:lang w:bidi="en-US"/>
        </w:rPr>
        <w:t xml:space="preserve"> akt</w:t>
      </w:r>
      <w:r w:rsidR="00D770F2">
        <w:rPr>
          <w:rFonts w:ascii="Times New Roman" w:eastAsia="Times New Roman" w:hAnsi="Times New Roman"/>
          <w:sz w:val="24"/>
          <w:szCs w:val="24"/>
          <w:lang w:bidi="en-US"/>
        </w:rPr>
        <w:t xml:space="preserve">os </w:t>
      </w:r>
      <w:r w:rsidR="005A624A" w:rsidRPr="00B248C6">
        <w:rPr>
          <w:rFonts w:ascii="Times New Roman" w:eastAsia="Times New Roman" w:hAnsi="Times New Roman"/>
          <w:sz w:val="24"/>
          <w:szCs w:val="24"/>
          <w:lang w:bidi="en-US"/>
        </w:rPr>
        <w:t>par ES fonda aktivitātēm</w:t>
      </w:r>
      <w:r w:rsidR="00D770F2">
        <w:rPr>
          <w:rFonts w:ascii="Times New Roman" w:eastAsia="Times New Roman" w:hAnsi="Times New Roman"/>
          <w:sz w:val="24"/>
          <w:szCs w:val="24"/>
          <w:lang w:bidi="en-US"/>
        </w:rPr>
        <w:t xml:space="preserve"> noteiktajai kārtībai </w:t>
      </w:r>
      <w:r w:rsidR="00B248C6">
        <w:rPr>
          <w:rFonts w:ascii="Times New Roman" w:eastAsia="Times New Roman" w:hAnsi="Times New Roman"/>
          <w:sz w:val="24"/>
          <w:szCs w:val="24"/>
          <w:lang w:bidi="en-US"/>
        </w:rPr>
        <w:t xml:space="preserve">attiecībā uz gadījumiem, kad konstatēta </w:t>
      </w:r>
      <w:r w:rsidR="00D770F2">
        <w:rPr>
          <w:rFonts w:ascii="Times New Roman" w:hAnsi="Times New Roman" w:cs="Times New Roman"/>
          <w:sz w:val="24"/>
          <w:szCs w:val="24"/>
        </w:rPr>
        <w:t>pārmērīg</w:t>
      </w:r>
      <w:r w:rsidR="00B248C6">
        <w:rPr>
          <w:rFonts w:ascii="Times New Roman" w:hAnsi="Times New Roman" w:cs="Times New Roman"/>
          <w:sz w:val="24"/>
          <w:szCs w:val="24"/>
        </w:rPr>
        <w:t>a</w:t>
      </w:r>
      <w:r w:rsidR="00D770F2">
        <w:rPr>
          <w:rFonts w:ascii="Times New Roman" w:hAnsi="Times New Roman" w:cs="Times New Roman"/>
          <w:sz w:val="24"/>
          <w:szCs w:val="24"/>
        </w:rPr>
        <w:t xml:space="preserve"> kompensācij</w:t>
      </w:r>
      <w:r w:rsidR="00B248C6">
        <w:rPr>
          <w:rFonts w:ascii="Times New Roman" w:hAnsi="Times New Roman" w:cs="Times New Roman"/>
          <w:sz w:val="24"/>
          <w:szCs w:val="24"/>
        </w:rPr>
        <w:t>a</w:t>
      </w:r>
      <w:r w:rsidR="00943D2C">
        <w:rPr>
          <w:rFonts w:ascii="Times New Roman" w:eastAsia="Times New Roman" w:hAnsi="Times New Roman"/>
          <w:sz w:val="24"/>
          <w:szCs w:val="24"/>
          <w:lang w:bidi="en-US"/>
        </w:rPr>
        <w:t>.</w:t>
      </w:r>
      <w:r w:rsidR="005A624A" w:rsidRPr="00B248C6">
        <w:rPr>
          <w:rFonts w:ascii="Times New Roman" w:eastAsia="Times New Roman" w:hAnsi="Times New Roman"/>
          <w:sz w:val="24"/>
          <w:szCs w:val="24"/>
          <w:lang w:bidi="en-US"/>
        </w:rPr>
        <w:t xml:space="preserve"> </w:t>
      </w:r>
    </w:p>
    <w:p w14:paraId="0973DBB1" w14:textId="77777777"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lang w:bidi="en-US"/>
        </w:rPr>
      </w:pPr>
    </w:p>
    <w:p w14:paraId="3CBFD717" w14:textId="77777777" w:rsidR="000A293A" w:rsidRPr="005D64A2" w:rsidRDefault="000A293A" w:rsidP="00B248C6">
      <w:pPr>
        <w:numPr>
          <w:ilvl w:val="0"/>
          <w:numId w:val="2"/>
        </w:numPr>
        <w:tabs>
          <w:tab w:val="left" w:pos="284"/>
        </w:tabs>
        <w:spacing w:after="0" w:line="240" w:lineRule="auto"/>
        <w:ind w:left="-142" w:hanging="284"/>
        <w:contextualSpacing/>
        <w:jc w:val="both"/>
        <w:rPr>
          <w:rFonts w:ascii="Times New Roman" w:hAnsi="Times New Roman" w:cs="Times New Roman"/>
          <w:sz w:val="24"/>
          <w:szCs w:val="24"/>
        </w:rPr>
      </w:pPr>
      <w:r w:rsidRPr="00C6377D">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rPr>
        <w:t>normatīvaj</w:t>
      </w:r>
      <w:r w:rsidR="00DC1EB9">
        <w:rPr>
          <w:rFonts w:ascii="Times New Roman" w:eastAsia="Times New Roman" w:hAnsi="Times New Roman"/>
          <w:sz w:val="24"/>
          <w:szCs w:val="24"/>
        </w:rPr>
        <w:t>os</w:t>
      </w:r>
      <w:r w:rsidR="00943D2C">
        <w:rPr>
          <w:rFonts w:ascii="Times New Roman" w:eastAsia="Times New Roman" w:hAnsi="Times New Roman"/>
          <w:sz w:val="24"/>
          <w:szCs w:val="24"/>
        </w:rPr>
        <w:t xml:space="preserve"> akt</w:t>
      </w:r>
      <w:r w:rsidR="00DC1EB9">
        <w:rPr>
          <w:rFonts w:ascii="Times New Roman" w:eastAsia="Times New Roman" w:hAnsi="Times New Roman"/>
          <w:sz w:val="24"/>
          <w:szCs w:val="24"/>
        </w:rPr>
        <w:t xml:space="preserve">os </w:t>
      </w:r>
      <w:r w:rsidR="00943D2C">
        <w:rPr>
          <w:rFonts w:ascii="Times New Roman" w:eastAsia="Times New Roman" w:hAnsi="Times New Roman"/>
          <w:sz w:val="24"/>
          <w:szCs w:val="24"/>
        </w:rPr>
        <w:t>par ES fonda aktivitātēm</w:t>
      </w:r>
      <w:r w:rsidR="00DC1EB9">
        <w:rPr>
          <w:rFonts w:ascii="Times New Roman" w:eastAsia="Times New Roman" w:hAnsi="Times New Roman"/>
          <w:sz w:val="24"/>
          <w:szCs w:val="24"/>
        </w:rPr>
        <w:t xml:space="preserve"> noteiktajai</w:t>
      </w:r>
      <w:r w:rsidR="00DC1EB9" w:rsidRPr="00236F68">
        <w:rPr>
          <w:rFonts w:ascii="Times New Roman" w:hAnsi="Times New Roman" w:cs="Times New Roman"/>
          <w:sz w:val="24"/>
          <w:szCs w:val="24"/>
        </w:rPr>
        <w:t xml:space="preserve"> infrastruktūras izmantošanas proporcijas noteikšanas kārtīb</w:t>
      </w:r>
      <w:r w:rsidR="00DC1EB9">
        <w:rPr>
          <w:rFonts w:ascii="Times New Roman" w:hAnsi="Times New Roman" w:cs="Times New Roman"/>
          <w:sz w:val="24"/>
          <w:szCs w:val="24"/>
        </w:rPr>
        <w:t xml:space="preserve">ai un </w:t>
      </w:r>
      <w:r w:rsidR="00DC1EB9" w:rsidRPr="00203235">
        <w:rPr>
          <w:rFonts w:ascii="Times New Roman" w:hAnsi="Times New Roman" w:cs="Times New Roman"/>
          <w:sz w:val="24"/>
          <w:szCs w:val="24"/>
        </w:rPr>
        <w:t>nosacījumiem</w:t>
      </w:r>
      <w:r w:rsidR="00DC1EB9" w:rsidRPr="00DC1EB9">
        <w:rPr>
          <w:rFonts w:ascii="Times New Roman" w:hAnsi="Times New Roman" w:cs="Times New Roman"/>
          <w:sz w:val="24"/>
          <w:szCs w:val="24"/>
        </w:rPr>
        <w:t>,</w:t>
      </w:r>
      <w:r w:rsidR="00943D2C" w:rsidRPr="00DC1EB9">
        <w:rPr>
          <w:rFonts w:ascii="Times New Roman" w:eastAsia="Times New Roman" w:hAnsi="Times New Roman"/>
          <w:sz w:val="24"/>
          <w:szCs w:val="24"/>
        </w:rPr>
        <w:t xml:space="preserve"> </w:t>
      </w:r>
      <w:r w:rsidRPr="00DC1EB9">
        <w:rPr>
          <w:rFonts w:ascii="Times New Roman" w:eastAsia="Times New Roman" w:hAnsi="Times New Roman"/>
          <w:sz w:val="24"/>
          <w:szCs w:val="24"/>
          <w:lang w:bidi="en-US"/>
        </w:rPr>
        <w:t xml:space="preserve">IZPILDĪTĀJAM ir tiesības pieprasīt no citām ārstniecības iestādēm maksu par attīstītas infrastruktūras īri, kas nepārsniedz attiecīgās infrastruktūras uzturēšanas izmaksas, atskaitot amortizācijas un attīstības izmaksas, kas finansētas no publiskā avota finansējuma, un saprātīgas peļņas summu, kuru nosaka kā peļņas attiecību pret apgrozījumu par periodu N-4 gada līdz N-2 gada veselībā un sociālajā aprūpē, ņemot vērā, ka iepriekšējais gads ir N-1 (piemēram, 2016.gada saprātīgās peļņas aprēķināšanai izmanto datus par periodu no 2012.gada (N-4) līdz 2014.gadam (N-2)).  </w:t>
      </w:r>
    </w:p>
    <w:p w14:paraId="26AB5344" w14:textId="77777777" w:rsidR="005D64A2" w:rsidRPr="005D64A2" w:rsidRDefault="005D64A2" w:rsidP="005D64A2">
      <w:pPr>
        <w:tabs>
          <w:tab w:val="left" w:pos="284"/>
        </w:tabs>
        <w:spacing w:after="0" w:line="240" w:lineRule="auto"/>
        <w:contextualSpacing/>
        <w:jc w:val="both"/>
        <w:rPr>
          <w:rFonts w:ascii="Times New Roman" w:hAnsi="Times New Roman" w:cs="Times New Roman"/>
          <w:sz w:val="16"/>
          <w:szCs w:val="16"/>
        </w:rPr>
      </w:pPr>
    </w:p>
    <w:p w14:paraId="15A61D3D" w14:textId="77777777"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 xml:space="preserve">Šajā </w:t>
      </w:r>
      <w:r w:rsidR="005D64A2">
        <w:rPr>
          <w:rFonts w:ascii="Times New Roman" w:eastAsia="Times New Roman" w:hAnsi="Times New Roman"/>
          <w:sz w:val="24"/>
          <w:szCs w:val="24"/>
        </w:rPr>
        <w:t>L</w:t>
      </w:r>
      <w:r w:rsidRPr="008B1353">
        <w:rPr>
          <w:rFonts w:ascii="Times New Roman" w:eastAsia="Times New Roman" w:hAnsi="Times New Roman"/>
          <w:sz w:val="24"/>
          <w:szCs w:val="24"/>
        </w:rPr>
        <w:t xml:space="preserve">īguma pielikumā noteiktā kārtība un pienākumi attiecas tikai uz </w:t>
      </w:r>
      <w:r>
        <w:rPr>
          <w:rFonts w:ascii="Times New Roman" w:eastAsia="Times New Roman" w:hAnsi="Times New Roman"/>
          <w:sz w:val="24"/>
          <w:szCs w:val="24"/>
        </w:rPr>
        <w:t xml:space="preserve">specifisko </w:t>
      </w:r>
      <w:r w:rsidRPr="008B1353">
        <w:rPr>
          <w:rFonts w:ascii="Times New Roman" w:eastAsia="Times New Roman" w:hAnsi="Times New Roman"/>
          <w:sz w:val="24"/>
          <w:szCs w:val="24"/>
        </w:rPr>
        <w:t>atbalstu</w:t>
      </w:r>
      <w:r>
        <w:rPr>
          <w:rFonts w:ascii="Times New Roman" w:eastAsia="Times New Roman" w:hAnsi="Times New Roman"/>
          <w:sz w:val="24"/>
          <w:szCs w:val="24"/>
        </w:rPr>
        <w:t>.</w:t>
      </w:r>
    </w:p>
    <w:p w14:paraId="20BC7638" w14:textId="77777777" w:rsidR="000A293A" w:rsidRPr="005D64A2" w:rsidRDefault="000A293A" w:rsidP="000A293A">
      <w:pPr>
        <w:tabs>
          <w:tab w:val="left" w:pos="5387"/>
        </w:tabs>
        <w:spacing w:after="0" w:line="240" w:lineRule="auto"/>
        <w:ind w:left="-142" w:right="-1" w:hanging="284"/>
        <w:jc w:val="both"/>
        <w:rPr>
          <w:rFonts w:ascii="Times New Roman" w:eastAsia="Times New Roman" w:hAnsi="Times New Roman"/>
          <w:b/>
          <w:sz w:val="24"/>
          <w:szCs w:val="24"/>
          <w:lang w:bidi="en-US"/>
        </w:rPr>
      </w:pPr>
    </w:p>
    <w:p w14:paraId="790FF9A3" w14:textId="77777777"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14:paraId="74E8E45D" w14:textId="77777777" w:rsidR="000A293A"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DIENESTS</w:t>
      </w:r>
      <w:r>
        <w:rPr>
          <w:rFonts w:ascii="Times New Roman" w:eastAsia="Times New Roman" w:hAnsi="Times New Roman"/>
          <w:b/>
          <w:sz w:val="24"/>
          <w:szCs w:val="24"/>
          <w:lang w:bidi="en-US"/>
        </w:rPr>
        <w:tab/>
      </w:r>
      <w:r w:rsidRPr="008B1353">
        <w:rPr>
          <w:rFonts w:ascii="Times New Roman" w:eastAsia="Times New Roman" w:hAnsi="Times New Roman"/>
          <w:b/>
          <w:sz w:val="24"/>
          <w:szCs w:val="24"/>
          <w:lang w:bidi="en-US"/>
        </w:rPr>
        <w:t>IZPILDĪTĀJS</w:t>
      </w:r>
    </w:p>
    <w:p w14:paraId="258DB142" w14:textId="77777777"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14:paraId="47D5F2FD" w14:textId="77777777"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p>
    <w:p w14:paraId="75D7AEB8" w14:textId="77777777"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___</w:t>
      </w:r>
      <w:r>
        <w:rPr>
          <w:rFonts w:ascii="Times New Roman" w:eastAsia="Times New Roman" w:hAnsi="Times New Roman"/>
          <w:b/>
          <w:sz w:val="24"/>
          <w:szCs w:val="24"/>
          <w:lang w:bidi="en-US"/>
        </w:rPr>
        <w:t>______________</w:t>
      </w:r>
      <w:r>
        <w:rPr>
          <w:rFonts w:ascii="Times New Roman" w:eastAsia="Times New Roman" w:hAnsi="Times New Roman"/>
          <w:b/>
          <w:sz w:val="24"/>
          <w:szCs w:val="24"/>
          <w:lang w:bidi="en-US"/>
        </w:rPr>
        <w:tab/>
        <w:t>________________</w:t>
      </w:r>
    </w:p>
    <w:p w14:paraId="6E56CEBD" w14:textId="66DCF21F" w:rsidR="00082AE8" w:rsidRDefault="00082AE8"/>
    <w:p w14:paraId="45417397" w14:textId="39C2D19D" w:rsidR="00055D71" w:rsidRDefault="00055D71"/>
    <w:p w14:paraId="0BDED1D0" w14:textId="77777777" w:rsidR="00055D71" w:rsidRPr="00055D71" w:rsidRDefault="00055D71" w:rsidP="00055D71">
      <w:pPr>
        <w:spacing w:line="254" w:lineRule="auto"/>
        <w:jc w:val="center"/>
        <w:rPr>
          <w:rFonts w:ascii="Times New Roman" w:eastAsia="Calibri" w:hAnsi="Times New Roman" w:cs="Times New Roman"/>
          <w:sz w:val="24"/>
          <w:szCs w:val="24"/>
        </w:rPr>
      </w:pPr>
      <w:r w:rsidRPr="00055D71">
        <w:rPr>
          <w:rFonts w:ascii="Times New Roman" w:eastAsia="Calibri" w:hAnsi="Times New Roman" w:cs="Times New Roman"/>
          <w:sz w:val="24"/>
          <w:szCs w:val="24"/>
        </w:rPr>
        <w:t>ŠIS DOKUMENTS IR PARAKSTĪTS AR DROŠU ELEKTRONISKO PARAKSTU  UN SATUR LAIKA ZĪMOGU</w:t>
      </w:r>
    </w:p>
    <w:p w14:paraId="01F03B25" w14:textId="77777777" w:rsidR="00055D71" w:rsidRDefault="00055D71"/>
    <w:sectPr w:rsidR="00055D71" w:rsidSect="005D64A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B8C395D"/>
    <w:multiLevelType w:val="multilevel"/>
    <w:tmpl w:val="09DCBC5A"/>
    <w:lvl w:ilvl="0">
      <w:start w:val="1"/>
      <w:numFmt w:val="decimal"/>
      <w:lvlText w:val="%1."/>
      <w:lvlJc w:val="left"/>
      <w:pPr>
        <w:ind w:left="786"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C45710"/>
    <w:multiLevelType w:val="multilevel"/>
    <w:tmpl w:val="6D5CD100"/>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6FD47106"/>
    <w:multiLevelType w:val="hybridMultilevel"/>
    <w:tmpl w:val="34F61074"/>
    <w:lvl w:ilvl="0" w:tplc="D862C94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2945721">
    <w:abstractNumId w:val="2"/>
  </w:num>
  <w:num w:numId="2" w16cid:durableId="320929846">
    <w:abstractNumId w:val="1"/>
  </w:num>
  <w:num w:numId="3" w16cid:durableId="110199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3A"/>
    <w:rsid w:val="00055D71"/>
    <w:rsid w:val="00082AE8"/>
    <w:rsid w:val="00090DC4"/>
    <w:rsid w:val="000A293A"/>
    <w:rsid w:val="000F0752"/>
    <w:rsid w:val="001349FD"/>
    <w:rsid w:val="00137A20"/>
    <w:rsid w:val="001B253A"/>
    <w:rsid w:val="00203235"/>
    <w:rsid w:val="00294880"/>
    <w:rsid w:val="00395EE4"/>
    <w:rsid w:val="00422588"/>
    <w:rsid w:val="0042429E"/>
    <w:rsid w:val="00461B9C"/>
    <w:rsid w:val="0047417E"/>
    <w:rsid w:val="00485987"/>
    <w:rsid w:val="005A624A"/>
    <w:rsid w:val="005D64A2"/>
    <w:rsid w:val="00617B82"/>
    <w:rsid w:val="00662EC1"/>
    <w:rsid w:val="006F60AA"/>
    <w:rsid w:val="007452B0"/>
    <w:rsid w:val="00780C88"/>
    <w:rsid w:val="007C050E"/>
    <w:rsid w:val="007D4479"/>
    <w:rsid w:val="00842C9A"/>
    <w:rsid w:val="00870205"/>
    <w:rsid w:val="008D0BAC"/>
    <w:rsid w:val="00943D2C"/>
    <w:rsid w:val="009D46D8"/>
    <w:rsid w:val="00B248C6"/>
    <w:rsid w:val="00C709D3"/>
    <w:rsid w:val="00D770F2"/>
    <w:rsid w:val="00DC1EB9"/>
    <w:rsid w:val="00E00D8A"/>
    <w:rsid w:val="00E30F6D"/>
    <w:rsid w:val="00E408CF"/>
    <w:rsid w:val="00F61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201"/>
  <w15:chartTrackingRefBased/>
  <w15:docId w15:val="{AC3F563F-E53C-4181-BB90-2C6418F8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0A293A"/>
    <w:pPr>
      <w:ind w:left="720"/>
      <w:contextualSpacing/>
    </w:pPr>
  </w:style>
  <w:style w:type="paragraph" w:styleId="BalloonText">
    <w:name w:val="Balloon Text"/>
    <w:basedOn w:val="Normal"/>
    <w:link w:val="BalloonTextChar"/>
    <w:uiPriority w:val="99"/>
    <w:semiHidden/>
    <w:unhideWhenUsed/>
    <w:rsid w:val="000A2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93A"/>
    <w:rPr>
      <w:rFonts w:ascii="Segoe UI" w:hAnsi="Segoe UI" w:cs="Segoe UI"/>
      <w:sz w:val="18"/>
      <w:szCs w:val="18"/>
    </w:rPr>
  </w:style>
  <w:style w:type="character" w:customStyle="1" w:styleId="ListParagraphChar">
    <w:name w:val="List Paragraph Char"/>
    <w:aliases w:val="2 Char"/>
    <w:link w:val="ListParagraph"/>
    <w:uiPriority w:val="34"/>
    <w:locked/>
    <w:rsid w:val="000A293A"/>
  </w:style>
  <w:style w:type="table" w:styleId="TableGrid">
    <w:name w:val="Table Grid"/>
    <w:basedOn w:val="TableNormal"/>
    <w:uiPriority w:val="39"/>
    <w:rsid w:val="00137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4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79780">
      <w:bodyDiv w:val="1"/>
      <w:marLeft w:val="0"/>
      <w:marRight w:val="0"/>
      <w:marTop w:val="0"/>
      <w:marBottom w:val="0"/>
      <w:divBdr>
        <w:top w:val="none" w:sz="0" w:space="0" w:color="auto"/>
        <w:left w:val="none" w:sz="0" w:space="0" w:color="auto"/>
        <w:bottom w:val="none" w:sz="0" w:space="0" w:color="auto"/>
        <w:right w:val="none" w:sz="0" w:space="0" w:color="auto"/>
      </w:divBdr>
    </w:div>
    <w:div w:id="13975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1699</Words>
  <Characters>969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dc:creator>
  <cp:keywords/>
  <dc:description/>
  <cp:lastModifiedBy>Lolita Pranta</cp:lastModifiedBy>
  <cp:revision>4</cp:revision>
  <cp:lastPrinted>2022-05-05T08:33:00Z</cp:lastPrinted>
  <dcterms:created xsi:type="dcterms:W3CDTF">2022-05-05T08:34:00Z</dcterms:created>
  <dcterms:modified xsi:type="dcterms:W3CDTF">2022-06-08T08:18:00Z</dcterms:modified>
</cp:coreProperties>
</file>