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2C0FA549" w:rsidR="002C35F4" w:rsidRDefault="00ED7043" w:rsidP="002C35F4">
      <w:pPr>
        <w:spacing w:after="0" w:line="240" w:lineRule="auto"/>
        <w:rPr>
          <w:b/>
          <w:bCs/>
        </w:rPr>
      </w:pPr>
      <w:r>
        <w:rPr>
          <w:b/>
          <w:bCs/>
        </w:rPr>
        <w:t>10</w:t>
      </w:r>
      <w:r w:rsidR="003F228A">
        <w:rPr>
          <w:b/>
          <w:bCs/>
        </w:rPr>
        <w:t>.08</w:t>
      </w:r>
      <w:r w:rsidR="00052523">
        <w:rPr>
          <w:b/>
          <w:bCs/>
        </w:rPr>
        <w:t>.202</w:t>
      </w:r>
      <w:r w:rsidR="00C76E61">
        <w:rPr>
          <w:b/>
          <w:bCs/>
        </w:rPr>
        <w:t>3</w:t>
      </w:r>
      <w:r w:rsidR="00F01CF5">
        <w:rPr>
          <w:b/>
          <w:bCs/>
        </w:rPr>
        <w:t>(1)</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48509C32" w14:textId="77777777" w:rsidR="00ED7043" w:rsidRDefault="00ED7043" w:rsidP="00CF744E">
      <w:pPr>
        <w:spacing w:after="0" w:line="240" w:lineRule="auto"/>
        <w:rPr>
          <w:rFonts w:cstheme="minorHAnsi"/>
          <w:color w:val="000000"/>
        </w:rPr>
      </w:pPr>
      <w:r w:rsidRPr="00ED7043">
        <w:rPr>
          <w:rFonts w:cstheme="minorHAnsi"/>
          <w:color w:val="000000"/>
        </w:rPr>
        <w:t>Par Minimālā izmeklējumu apjoma veikšanas kārtību</w:t>
      </w:r>
    </w:p>
    <w:p w14:paraId="22F20351" w14:textId="77777777" w:rsidR="00ED7043" w:rsidRDefault="00ED7043" w:rsidP="00CF744E">
      <w:pPr>
        <w:spacing w:after="0" w:line="240" w:lineRule="auto"/>
        <w:rPr>
          <w:rFonts w:cstheme="minorHAnsi"/>
          <w:color w:val="000000"/>
        </w:rPr>
      </w:pPr>
    </w:p>
    <w:p w14:paraId="4979EB97" w14:textId="5784F684"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77578786" w14:textId="77777777" w:rsidR="00ED7043" w:rsidRPr="00ED7043" w:rsidRDefault="00ED7043" w:rsidP="00ED7043">
      <w:pPr>
        <w:pStyle w:val="NoSpacing"/>
        <w:ind w:firstLine="720"/>
        <w:jc w:val="both"/>
        <w:rPr>
          <w:rStyle w:val="contentpasted0"/>
          <w:rFonts w:asciiTheme="minorHAnsi" w:hAnsiTheme="minorHAnsi" w:cstheme="minorHAnsi"/>
          <w:lang w:val="en-US"/>
        </w:rPr>
      </w:pPr>
      <w:r w:rsidRPr="00ED7043">
        <w:rPr>
          <w:rStyle w:val="contentpasted0"/>
          <w:rFonts w:asciiTheme="minorHAnsi" w:hAnsiTheme="minorHAnsi" w:cstheme="minorHAnsi"/>
          <w:color w:val="000000"/>
          <w:lang w:val="en-US"/>
        </w:rPr>
        <w:t>Nacionālais Veselības Dienests (turpmāk Dienests) sadarbībā ar nozares asociācijām ir izveidojis Minimālā izmeklējumu apjoma veikšanas kārtību, kas publicēta Dienesta tīmekļa vietnē un pieejams šeit: Sākums &gt; Profesionāļiem &gt; Līgumu dokumenti &gt; Līgumi un to pielikumi &gt; Sekundāro ambulatoro veselības aprūpes pakalpojumu līguma paraugs.</w:t>
      </w:r>
    </w:p>
    <w:p w14:paraId="73F70B33" w14:textId="77777777" w:rsidR="00ED7043" w:rsidRPr="00ED7043" w:rsidRDefault="00ED7043" w:rsidP="00ED7043">
      <w:pPr>
        <w:pStyle w:val="NoSpacing"/>
        <w:ind w:firstLine="720"/>
        <w:jc w:val="both"/>
        <w:rPr>
          <w:rFonts w:asciiTheme="minorHAnsi" w:hAnsiTheme="minorHAnsi" w:cstheme="minorHAnsi"/>
        </w:rPr>
      </w:pPr>
      <w:r w:rsidRPr="00ED7043">
        <w:rPr>
          <w:rStyle w:val="contentpasted0"/>
          <w:rFonts w:asciiTheme="minorHAnsi" w:hAnsiTheme="minorHAnsi" w:cstheme="minorHAnsi"/>
          <w:color w:val="000000"/>
          <w:lang w:val="en-US"/>
        </w:rPr>
        <w:t xml:space="preserve">Saite: </w:t>
      </w:r>
      <w:hyperlink r:id="rId7" w:history="1">
        <w:r w:rsidRPr="00ED7043">
          <w:rPr>
            <w:rStyle w:val="Hyperlink"/>
            <w:rFonts w:asciiTheme="minorHAnsi" w:hAnsiTheme="minorHAnsi" w:cstheme="minorHAnsi"/>
            <w:lang w:val="en-US"/>
          </w:rPr>
          <w:t>https://www.vmnvd.gov.lv/lv/sekundaro-ambulatoro-veselibas-aprupes-pakalpojumu-liguma-paraugs-0</w:t>
        </w:r>
      </w:hyperlink>
      <w:r w:rsidRPr="00ED7043">
        <w:rPr>
          <w:rStyle w:val="Hyperlink"/>
          <w:rFonts w:asciiTheme="minorHAnsi" w:hAnsiTheme="minorHAnsi" w:cstheme="minorHAnsi"/>
          <w:lang w:val="en-US"/>
        </w:rPr>
        <w:t> </w:t>
      </w:r>
    </w:p>
    <w:p w14:paraId="6775968A" w14:textId="362D146D" w:rsidR="00ED7043" w:rsidRPr="00ED7043" w:rsidRDefault="00ED7043" w:rsidP="00ED7043">
      <w:pPr>
        <w:pStyle w:val="NoSpacing"/>
        <w:ind w:firstLine="720"/>
        <w:jc w:val="both"/>
        <w:rPr>
          <w:rFonts w:asciiTheme="minorHAnsi" w:hAnsiTheme="minorHAnsi" w:cstheme="minorHAnsi"/>
          <w:color w:val="000000"/>
        </w:rPr>
      </w:pPr>
      <w:r w:rsidRPr="00ED7043">
        <w:rPr>
          <w:rStyle w:val="contentpasted0"/>
          <w:rFonts w:asciiTheme="minorHAnsi" w:hAnsiTheme="minorHAnsi" w:cstheme="minorHAnsi"/>
          <w:color w:val="000000"/>
          <w:lang w:val="en-US"/>
        </w:rPr>
        <w:t>Dienests atgādina, ka minētā kārtībā tika izstrādā</w:t>
      </w:r>
      <w:r>
        <w:rPr>
          <w:rStyle w:val="contentpasted0"/>
          <w:rFonts w:asciiTheme="minorHAnsi" w:hAnsiTheme="minorHAnsi" w:cstheme="minorHAnsi"/>
          <w:color w:val="000000"/>
          <w:lang w:val="en-US"/>
        </w:rPr>
        <w:t>ta</w:t>
      </w:r>
      <w:r w:rsidRPr="00ED7043">
        <w:rPr>
          <w:rStyle w:val="contentpasted0"/>
          <w:rFonts w:asciiTheme="minorHAnsi" w:hAnsiTheme="minorHAnsi" w:cstheme="minorHAnsi"/>
          <w:color w:val="000000"/>
          <w:lang w:val="en-US"/>
        </w:rPr>
        <w:t xml:space="preserve"> kā viens no instrumentiem</w:t>
      </w:r>
      <w:r>
        <w:rPr>
          <w:rStyle w:val="contentpasted0"/>
          <w:rFonts w:asciiTheme="minorHAnsi" w:hAnsiTheme="minorHAnsi" w:cstheme="minorHAnsi"/>
          <w:color w:val="000000"/>
          <w:lang w:val="en-US"/>
        </w:rPr>
        <w:t>,</w:t>
      </w:r>
      <w:r w:rsidRPr="00ED7043">
        <w:rPr>
          <w:rStyle w:val="contentpasted0"/>
          <w:rFonts w:asciiTheme="minorHAnsi" w:hAnsiTheme="minorHAnsi" w:cstheme="minorHAnsi"/>
          <w:color w:val="000000"/>
          <w:lang w:val="en-US"/>
        </w:rPr>
        <w:t xml:space="preserve"> lai samazinātu laboratorisko izdevumu apjomu, kas šobrīd sastādā vairāk kā 8 miljonu pārstrādi.</w:t>
      </w:r>
      <w:r w:rsidRPr="00ED7043">
        <w:rPr>
          <w:rFonts w:asciiTheme="minorHAnsi" w:hAnsiTheme="minorHAnsi" w:cstheme="minorHAnsi"/>
          <w:color w:val="000000"/>
          <w:lang w:val="en-US"/>
        </w:rPr>
        <w:t> </w:t>
      </w:r>
    </w:p>
    <w:p w14:paraId="251D2572" w14:textId="77777777" w:rsidR="00ED7043" w:rsidRPr="00ED7043" w:rsidRDefault="00ED7043" w:rsidP="00ED7043">
      <w:pPr>
        <w:ind w:firstLine="720"/>
        <w:jc w:val="both"/>
        <w:rPr>
          <w:rFonts w:cstheme="minorHAnsi"/>
          <w:color w:val="000000"/>
        </w:rPr>
      </w:pPr>
      <w:r w:rsidRPr="00ED7043">
        <w:rPr>
          <w:rStyle w:val="contentpasted0"/>
          <w:rFonts w:cstheme="minorHAnsi"/>
          <w:color w:val="000000"/>
        </w:rPr>
        <w:t>Veicot ārstniecības iestāžu aptauju par Minimālā izmeklējumu apjoma veikšanas kārtības ieviešanu un pielietošanu iestādēs, Dienests konstatēja, ka daļa iestādes nav paguvušas to ieviest. Paldies par atsaucību visiem aptaujas dalībniekiem, sevišķi tiem, kas paspējuši jauno kārtību ieviest!  </w:t>
      </w:r>
    </w:p>
    <w:p w14:paraId="6A323CCF" w14:textId="77777777" w:rsidR="00ED7043" w:rsidRPr="00ED7043" w:rsidRDefault="00ED7043" w:rsidP="00ED7043">
      <w:pPr>
        <w:ind w:firstLine="720"/>
        <w:jc w:val="both"/>
        <w:rPr>
          <w:rFonts w:cstheme="minorHAnsi"/>
          <w:color w:val="000000"/>
        </w:rPr>
      </w:pPr>
      <w:r w:rsidRPr="00ED7043">
        <w:rPr>
          <w:rStyle w:val="contentpasted0"/>
          <w:rFonts w:cstheme="minorHAnsi"/>
          <w:color w:val="000000"/>
        </w:rPr>
        <w:t>Analizējot aptaujas rezultātus un Dienestam iesniegtās, iekšējai lietošanai izstrādātās, Minimālā izmeklējumu apjoma veikšanas kārtības, tika konstatēts, ka VCA poliklīnika SIA Dzelzceļa veselības centrs iesniegtais kārtības atspoguļojums ir informatīvs, viegli uztverams un satur visus Dienesta paustos ieteikums. </w:t>
      </w:r>
    </w:p>
    <w:p w14:paraId="2453CC75" w14:textId="77777777" w:rsidR="00ED7043" w:rsidRDefault="00ED7043" w:rsidP="00ED7043">
      <w:pPr>
        <w:ind w:firstLine="720"/>
        <w:jc w:val="both"/>
        <w:rPr>
          <w:rStyle w:val="contentpasted0"/>
          <w:rFonts w:cstheme="minorHAnsi"/>
          <w:color w:val="000000"/>
        </w:rPr>
      </w:pPr>
      <w:r w:rsidRPr="00ED7043">
        <w:rPr>
          <w:rStyle w:val="contentpasted0"/>
          <w:rFonts w:cstheme="minorHAnsi"/>
          <w:color w:val="000000"/>
        </w:rPr>
        <w:t>Tāpēc, lai veicinātu Minimālā izmeklējumu apjoma veikšanas kārtības ieviešanu visās iestādēs Dienests līgumpartneriem izsūta “labās prakses piemēru” Minimālā izmeklējumu apjoma veikšanas kārtībai, kas pieejams vēstules pielikumā. </w:t>
      </w:r>
    </w:p>
    <w:p w14:paraId="031D2C6E" w14:textId="200A732B" w:rsidR="00ED7043" w:rsidRPr="00ED7043" w:rsidRDefault="00EE501F" w:rsidP="00ED7043">
      <w:pPr>
        <w:ind w:firstLine="720"/>
        <w:jc w:val="both"/>
        <w:rPr>
          <w:rStyle w:val="contentpasted0"/>
          <w:rFonts w:cstheme="minorHAnsi"/>
        </w:rPr>
      </w:pPr>
      <w:r>
        <w:object w:dxaOrig="1520" w:dyaOrig="985" w14:anchorId="34865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2pt;height:49.2pt" o:ole="">
            <v:imagedata r:id="rId8" o:title=""/>
          </v:shape>
          <o:OLEObject Type="Embed" ProgID="AcroExch.Document.DC" ShapeID="_x0000_i1027" DrawAspect="Icon" ObjectID="_1753268185" r:id="rId9"/>
        </w:object>
      </w:r>
    </w:p>
    <w:p w14:paraId="154AC643" w14:textId="5B7C5F62" w:rsidR="00090686" w:rsidRPr="00ED7043" w:rsidRDefault="00090686" w:rsidP="0082207B">
      <w:pPr>
        <w:jc w:val="both"/>
        <w:rPr>
          <w:rFonts w:cstheme="minorHAnsi"/>
          <w:b/>
          <w:bCs/>
        </w:rPr>
      </w:pPr>
    </w:p>
    <w:sectPr w:rsidR="00090686" w:rsidRPr="00ED704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27885" w14:textId="77777777" w:rsidR="006E6458" w:rsidRDefault="006E6458" w:rsidP="00F5096D">
      <w:pPr>
        <w:spacing w:after="0" w:line="240" w:lineRule="auto"/>
      </w:pPr>
      <w:r>
        <w:separator/>
      </w:r>
    </w:p>
  </w:endnote>
  <w:endnote w:type="continuationSeparator" w:id="0">
    <w:p w14:paraId="7C351F2F" w14:textId="77777777" w:rsidR="006E6458" w:rsidRDefault="006E6458"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51AA2" w14:textId="77777777" w:rsidR="006E6458" w:rsidRDefault="006E6458" w:rsidP="00F5096D">
      <w:pPr>
        <w:spacing w:after="0" w:line="240" w:lineRule="auto"/>
      </w:pPr>
      <w:r>
        <w:separator/>
      </w:r>
    </w:p>
  </w:footnote>
  <w:footnote w:type="continuationSeparator" w:id="0">
    <w:p w14:paraId="521B919F" w14:textId="77777777" w:rsidR="006E6458" w:rsidRDefault="006E6458"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9"/>
  </w:num>
  <w:num w:numId="4" w16cid:durableId="1635259919">
    <w:abstractNumId w:val="26"/>
  </w:num>
  <w:num w:numId="5" w16cid:durableId="1657148472">
    <w:abstractNumId w:val="20"/>
  </w:num>
  <w:num w:numId="6" w16cid:durableId="1106003344">
    <w:abstractNumId w:val="13"/>
  </w:num>
  <w:num w:numId="7" w16cid:durableId="375082792">
    <w:abstractNumId w:val="19"/>
  </w:num>
  <w:num w:numId="8" w16cid:durableId="1798452046">
    <w:abstractNumId w:val="8"/>
  </w:num>
  <w:num w:numId="9" w16cid:durableId="1326278971">
    <w:abstractNumId w:val="27"/>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8"/>
  </w:num>
  <w:num w:numId="18" w16cid:durableId="1466317037">
    <w:abstractNumId w:val="12"/>
  </w:num>
  <w:num w:numId="19" w16cid:durableId="1294941619">
    <w:abstractNumId w:val="15"/>
  </w:num>
  <w:num w:numId="20" w16cid:durableId="348720614">
    <w:abstractNumId w:val="11"/>
  </w:num>
  <w:num w:numId="21" w16cid:durableId="1340541331">
    <w:abstractNumId w:val="14"/>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1"/>
  </w:num>
  <w:num w:numId="28" w16cid:durableId="2109495094">
    <w:abstractNumId w:val="3"/>
  </w:num>
  <w:num w:numId="29" w16cid:durableId="279342636">
    <w:abstractNumId w:val="9"/>
  </w:num>
  <w:num w:numId="30" w16cid:durableId="14482323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0686"/>
    <w:rsid w:val="00094C1B"/>
    <w:rsid w:val="000A20DA"/>
    <w:rsid w:val="000C6255"/>
    <w:rsid w:val="000E0C29"/>
    <w:rsid w:val="001774CD"/>
    <w:rsid w:val="00186157"/>
    <w:rsid w:val="001B1BDA"/>
    <w:rsid w:val="001C6DEB"/>
    <w:rsid w:val="001D61FC"/>
    <w:rsid w:val="001E15BA"/>
    <w:rsid w:val="001F16BB"/>
    <w:rsid w:val="00256B90"/>
    <w:rsid w:val="002A1B49"/>
    <w:rsid w:val="002C35F4"/>
    <w:rsid w:val="002D084B"/>
    <w:rsid w:val="00304706"/>
    <w:rsid w:val="0030758B"/>
    <w:rsid w:val="00327A80"/>
    <w:rsid w:val="00330428"/>
    <w:rsid w:val="00345D92"/>
    <w:rsid w:val="00371232"/>
    <w:rsid w:val="003E3B83"/>
    <w:rsid w:val="003F228A"/>
    <w:rsid w:val="004078D5"/>
    <w:rsid w:val="004151F7"/>
    <w:rsid w:val="00416FA7"/>
    <w:rsid w:val="00425BB9"/>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95B0E"/>
    <w:rsid w:val="006A5526"/>
    <w:rsid w:val="006E1BC3"/>
    <w:rsid w:val="006E6458"/>
    <w:rsid w:val="006E74BD"/>
    <w:rsid w:val="006F0546"/>
    <w:rsid w:val="006F7BC2"/>
    <w:rsid w:val="00712CFD"/>
    <w:rsid w:val="0071736A"/>
    <w:rsid w:val="00732073"/>
    <w:rsid w:val="00764DF1"/>
    <w:rsid w:val="007753CE"/>
    <w:rsid w:val="007C1832"/>
    <w:rsid w:val="008137AF"/>
    <w:rsid w:val="0082207B"/>
    <w:rsid w:val="0082759B"/>
    <w:rsid w:val="0083168F"/>
    <w:rsid w:val="00831933"/>
    <w:rsid w:val="00846B26"/>
    <w:rsid w:val="00886BDC"/>
    <w:rsid w:val="00893247"/>
    <w:rsid w:val="00894A57"/>
    <w:rsid w:val="008D605F"/>
    <w:rsid w:val="008E37E4"/>
    <w:rsid w:val="00923F48"/>
    <w:rsid w:val="00925E32"/>
    <w:rsid w:val="00940625"/>
    <w:rsid w:val="009B6E3B"/>
    <w:rsid w:val="009D6094"/>
    <w:rsid w:val="00A12D67"/>
    <w:rsid w:val="00A17177"/>
    <w:rsid w:val="00A251EE"/>
    <w:rsid w:val="00A50BC8"/>
    <w:rsid w:val="00A80153"/>
    <w:rsid w:val="00A925FB"/>
    <w:rsid w:val="00A972F0"/>
    <w:rsid w:val="00AC29D3"/>
    <w:rsid w:val="00AE3F01"/>
    <w:rsid w:val="00AE4F9D"/>
    <w:rsid w:val="00AF4662"/>
    <w:rsid w:val="00B02AE7"/>
    <w:rsid w:val="00B246EF"/>
    <w:rsid w:val="00B6351F"/>
    <w:rsid w:val="00B95F91"/>
    <w:rsid w:val="00BC7822"/>
    <w:rsid w:val="00BE2CD4"/>
    <w:rsid w:val="00C318DB"/>
    <w:rsid w:val="00C76E61"/>
    <w:rsid w:val="00CA0C65"/>
    <w:rsid w:val="00CD1B50"/>
    <w:rsid w:val="00CD20A4"/>
    <w:rsid w:val="00CF744E"/>
    <w:rsid w:val="00D17D92"/>
    <w:rsid w:val="00D2785A"/>
    <w:rsid w:val="00D32E3D"/>
    <w:rsid w:val="00D75D6C"/>
    <w:rsid w:val="00D8035C"/>
    <w:rsid w:val="00D87A54"/>
    <w:rsid w:val="00DB15E8"/>
    <w:rsid w:val="00DB3AF5"/>
    <w:rsid w:val="00DB4578"/>
    <w:rsid w:val="00DC017F"/>
    <w:rsid w:val="00E06F16"/>
    <w:rsid w:val="00E7397F"/>
    <w:rsid w:val="00EA4FB9"/>
    <w:rsid w:val="00EB64EA"/>
    <w:rsid w:val="00ED7043"/>
    <w:rsid w:val="00EE501F"/>
    <w:rsid w:val="00F01CF5"/>
    <w:rsid w:val="00F50425"/>
    <w:rsid w:val="00F5096D"/>
    <w:rsid w:val="00F51696"/>
    <w:rsid w:val="00F7287F"/>
    <w:rsid w:val="00FC0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vmnvd.gov.lv/lv/sekundaro-ambulatoro-veselibas-aprupes-pakalpojumu-liguma-paraugs-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1084</Words>
  <Characters>618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2023-08-11T11:09:00Z</dcterms:created>
  <dcterms:modified xsi:type="dcterms:W3CDTF">2023-08-11T11:10:00Z</dcterms:modified>
</cp:coreProperties>
</file>