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6C1C" w14:textId="77777777" w:rsidR="0001654B" w:rsidRPr="00E830E9" w:rsidRDefault="0001654B" w:rsidP="0001654B">
      <w:pP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Medicīniskās apaugļošanas </w:t>
      </w:r>
      <w:r w:rsidRPr="00E830E9">
        <w:rPr>
          <w:rFonts w:ascii="Times New Roman" w:hAnsi="Times New Roman"/>
          <w:b/>
          <w:sz w:val="28"/>
          <w:szCs w:val="28"/>
        </w:rPr>
        <w:t>pakalpojumu sniedzēju atlases nosacījumi</w:t>
      </w:r>
    </w:p>
    <w:p w14:paraId="303C5400" w14:textId="77777777" w:rsidR="0001654B" w:rsidRDefault="0001654B" w:rsidP="002E75CA">
      <w:pPr>
        <w:spacing w:before="120" w:after="100"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Lai veicinātu efektīvāku un uz rezultātu orientētu veselības aprūpes pakalpojumu sniegšanu,</w:t>
      </w:r>
      <w:r w:rsidRPr="00E830E9" w:rsidDel="00DF2BE6">
        <w:rPr>
          <w:rFonts w:ascii="Times New Roman" w:hAnsi="Times New Roman"/>
          <w:sz w:val="24"/>
          <w:szCs w:val="24"/>
        </w:rPr>
        <w:t xml:space="preserve"> </w:t>
      </w:r>
      <w:r w:rsidRPr="00E830E9">
        <w:rPr>
          <w:rFonts w:ascii="Times New Roman" w:hAnsi="Times New Roman"/>
          <w:sz w:val="24"/>
          <w:szCs w:val="24"/>
        </w:rPr>
        <w:t xml:space="preserve">Nacionālais veselības dienests (turpmāk – NVD) 2017.gadā veiks jaunu pakalpojumu sniedzēju atlasi ar šādiem nosacījumiem: </w:t>
      </w:r>
    </w:p>
    <w:p w14:paraId="156F5813" w14:textId="77777777" w:rsidR="004701B5" w:rsidRPr="00E830E9" w:rsidRDefault="004701B5" w:rsidP="002E75CA">
      <w:pPr>
        <w:spacing w:before="120" w:after="100"/>
        <w:jc w:val="both"/>
        <w:rPr>
          <w:rFonts w:ascii="Times New Roman" w:hAnsi="Times New Roman"/>
          <w:b/>
          <w:sz w:val="24"/>
          <w:szCs w:val="24"/>
        </w:rPr>
      </w:pPr>
    </w:p>
    <w:p w14:paraId="6B927CBC" w14:textId="77777777" w:rsidR="0001654B" w:rsidRPr="00E830E9" w:rsidRDefault="0001654B" w:rsidP="00C12B1D">
      <w:pPr>
        <w:numPr>
          <w:ilvl w:val="0"/>
          <w:numId w:val="1"/>
        </w:numPr>
        <w:spacing w:before="120" w:after="100"/>
        <w:ind w:left="-426" w:hanging="283"/>
        <w:jc w:val="both"/>
        <w:rPr>
          <w:rFonts w:ascii="Times New Roman" w:hAnsi="Times New Roman"/>
          <w:b/>
          <w:sz w:val="24"/>
          <w:szCs w:val="24"/>
        </w:rPr>
      </w:pPr>
      <w:r w:rsidRPr="006B7669">
        <w:rPr>
          <w:rFonts w:ascii="Times New Roman" w:hAnsi="Times New Roman"/>
          <w:b/>
          <w:sz w:val="24"/>
          <w:szCs w:val="24"/>
        </w:rPr>
        <w:t>Pakalpojuma nosaukums –</w:t>
      </w:r>
      <w:r w:rsidR="003A2D05">
        <w:rPr>
          <w:rFonts w:ascii="Times New Roman" w:hAnsi="Times New Roman"/>
          <w:b/>
          <w:sz w:val="24"/>
          <w:szCs w:val="24"/>
        </w:rPr>
        <w:t>medicīniskā apaugļošana</w:t>
      </w:r>
      <w:r w:rsidRPr="00E830E9">
        <w:rPr>
          <w:rFonts w:ascii="Times New Roman" w:hAnsi="Times New Roman"/>
          <w:sz w:val="24"/>
          <w:szCs w:val="24"/>
        </w:rPr>
        <w:t>, kura ietver:</w:t>
      </w:r>
    </w:p>
    <w:p w14:paraId="6DC81C19" w14:textId="7B9CB4EC" w:rsidR="0001654B" w:rsidRPr="003A2D05" w:rsidRDefault="003A2D05" w:rsidP="002E75CA">
      <w:pPr>
        <w:numPr>
          <w:ilvl w:val="1"/>
          <w:numId w:val="1"/>
        </w:numPr>
        <w:spacing w:before="120" w:after="1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D05">
        <w:rPr>
          <w:rFonts w:ascii="Times New Roman" w:hAnsi="Times New Roman"/>
          <w:color w:val="000000"/>
          <w:sz w:val="24"/>
          <w:szCs w:val="24"/>
        </w:rPr>
        <w:t>Embriju sasaldēšan</w:t>
      </w:r>
      <w:r w:rsidR="00673F55">
        <w:rPr>
          <w:rFonts w:ascii="Times New Roman" w:hAnsi="Times New Roman"/>
          <w:color w:val="000000"/>
          <w:sz w:val="24"/>
          <w:szCs w:val="24"/>
        </w:rPr>
        <w:t>u</w:t>
      </w:r>
      <w:r w:rsidRPr="003A2D05">
        <w:rPr>
          <w:rFonts w:ascii="Times New Roman" w:hAnsi="Times New Roman"/>
          <w:color w:val="000000"/>
          <w:sz w:val="24"/>
          <w:szCs w:val="24"/>
        </w:rPr>
        <w:t xml:space="preserve"> un atsaldēšan</w:t>
      </w:r>
      <w:r w:rsidR="00673F55">
        <w:rPr>
          <w:rFonts w:ascii="Times New Roman" w:hAnsi="Times New Roman"/>
          <w:color w:val="000000"/>
          <w:sz w:val="24"/>
          <w:szCs w:val="24"/>
        </w:rPr>
        <w:t>u;</w:t>
      </w:r>
    </w:p>
    <w:p w14:paraId="30EAE930" w14:textId="34C2E2D5" w:rsidR="003A2D05" w:rsidRDefault="003A2D05" w:rsidP="002E75CA">
      <w:pPr>
        <w:numPr>
          <w:ilvl w:val="1"/>
          <w:numId w:val="1"/>
        </w:numPr>
        <w:spacing w:before="120"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A2D05">
        <w:rPr>
          <w:rFonts w:ascii="Times New Roman" w:hAnsi="Times New Roman"/>
          <w:sz w:val="24"/>
          <w:szCs w:val="24"/>
        </w:rPr>
        <w:t>Spermas iegūšan</w:t>
      </w:r>
      <w:r w:rsidR="00673F55">
        <w:rPr>
          <w:rFonts w:ascii="Times New Roman" w:hAnsi="Times New Roman"/>
          <w:sz w:val="24"/>
          <w:szCs w:val="24"/>
        </w:rPr>
        <w:t>u</w:t>
      </w:r>
      <w:r w:rsidRPr="003A2D05">
        <w:rPr>
          <w:rFonts w:ascii="Times New Roman" w:hAnsi="Times New Roman"/>
          <w:sz w:val="24"/>
          <w:szCs w:val="24"/>
        </w:rPr>
        <w:t xml:space="preserve"> un sagatavošan</w:t>
      </w:r>
      <w:r w:rsidR="00673F55">
        <w:rPr>
          <w:rFonts w:ascii="Times New Roman" w:hAnsi="Times New Roman"/>
          <w:sz w:val="24"/>
          <w:szCs w:val="24"/>
        </w:rPr>
        <w:t>u</w:t>
      </w:r>
      <w:r w:rsidRPr="003A2D05">
        <w:rPr>
          <w:rFonts w:ascii="Times New Roman" w:hAnsi="Times New Roman"/>
          <w:sz w:val="24"/>
          <w:szCs w:val="24"/>
        </w:rPr>
        <w:t xml:space="preserve"> m</w:t>
      </w:r>
      <w:r w:rsidR="00A5051B">
        <w:rPr>
          <w:rFonts w:ascii="Times New Roman" w:hAnsi="Times New Roman"/>
          <w:sz w:val="24"/>
          <w:szCs w:val="24"/>
        </w:rPr>
        <w:t>edicīniskai</w:t>
      </w:r>
      <w:r w:rsidRPr="003A2D05">
        <w:rPr>
          <w:rFonts w:ascii="Times New Roman" w:hAnsi="Times New Roman"/>
          <w:sz w:val="24"/>
          <w:szCs w:val="24"/>
        </w:rPr>
        <w:t xml:space="preserve"> apaugļošanai</w:t>
      </w:r>
      <w:r w:rsidR="00673F55">
        <w:rPr>
          <w:rFonts w:ascii="Times New Roman" w:hAnsi="Times New Roman"/>
          <w:sz w:val="24"/>
          <w:szCs w:val="24"/>
        </w:rPr>
        <w:t>;</w:t>
      </w:r>
    </w:p>
    <w:p w14:paraId="16C27920" w14:textId="659C8CF1" w:rsidR="003A2D05" w:rsidRPr="003A2D05" w:rsidRDefault="003A2D05" w:rsidP="002E75CA">
      <w:pPr>
        <w:numPr>
          <w:ilvl w:val="1"/>
          <w:numId w:val="1"/>
        </w:numPr>
        <w:spacing w:before="120" w:after="100"/>
        <w:jc w:val="both"/>
      </w:pPr>
      <w:r w:rsidRPr="003A2D05">
        <w:rPr>
          <w:rFonts w:ascii="Times New Roman" w:hAnsi="Times New Roman"/>
          <w:color w:val="000000"/>
          <w:sz w:val="24"/>
          <w:szCs w:val="24"/>
        </w:rPr>
        <w:t>M</w:t>
      </w:r>
      <w:r w:rsidR="00A5051B">
        <w:rPr>
          <w:rFonts w:ascii="Times New Roman" w:hAnsi="Times New Roman"/>
          <w:color w:val="000000"/>
          <w:sz w:val="24"/>
          <w:szCs w:val="24"/>
        </w:rPr>
        <w:t>edicīnisk</w:t>
      </w:r>
      <w:r w:rsidR="00673F55">
        <w:rPr>
          <w:rFonts w:ascii="Times New Roman" w:hAnsi="Times New Roman"/>
          <w:color w:val="000000"/>
          <w:sz w:val="24"/>
          <w:szCs w:val="24"/>
        </w:rPr>
        <w:t>o</w:t>
      </w:r>
      <w:r w:rsidRPr="003A2D05">
        <w:rPr>
          <w:rFonts w:ascii="Times New Roman" w:hAnsi="Times New Roman"/>
          <w:color w:val="000000"/>
          <w:sz w:val="24"/>
          <w:szCs w:val="24"/>
        </w:rPr>
        <w:t xml:space="preserve"> apaugļošan</w:t>
      </w:r>
      <w:r w:rsidR="00673F55">
        <w:rPr>
          <w:rFonts w:ascii="Times New Roman" w:hAnsi="Times New Roman"/>
          <w:color w:val="000000"/>
          <w:sz w:val="24"/>
          <w:szCs w:val="24"/>
        </w:rPr>
        <w:t>u</w:t>
      </w:r>
      <w:r w:rsidRPr="003A2D05">
        <w:rPr>
          <w:rFonts w:ascii="Times New Roman" w:hAnsi="Times New Roman"/>
          <w:color w:val="000000"/>
          <w:sz w:val="24"/>
          <w:szCs w:val="24"/>
        </w:rPr>
        <w:t xml:space="preserve"> mēģenē (IVF)</w:t>
      </w:r>
      <w:r w:rsidR="00673F55">
        <w:rPr>
          <w:rFonts w:ascii="Times New Roman" w:hAnsi="Times New Roman"/>
          <w:color w:val="000000"/>
          <w:sz w:val="24"/>
          <w:szCs w:val="24"/>
        </w:rPr>
        <w:t>;</w:t>
      </w:r>
    </w:p>
    <w:p w14:paraId="3DAD803D" w14:textId="7F4E3F5E" w:rsidR="003A2D05" w:rsidRPr="00A5051B" w:rsidRDefault="003A2D05" w:rsidP="002E75CA">
      <w:pPr>
        <w:numPr>
          <w:ilvl w:val="1"/>
          <w:numId w:val="1"/>
        </w:numPr>
        <w:spacing w:before="120" w:after="10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A2D05">
        <w:rPr>
          <w:rFonts w:ascii="Times New Roman" w:hAnsi="Times New Roman"/>
          <w:color w:val="000000"/>
          <w:sz w:val="24"/>
          <w:szCs w:val="24"/>
        </w:rPr>
        <w:t>Intracelulār</w:t>
      </w:r>
      <w:r w:rsidR="00673F55">
        <w:rPr>
          <w:rFonts w:ascii="Times New Roman" w:hAnsi="Times New Roman"/>
          <w:color w:val="000000"/>
          <w:sz w:val="24"/>
          <w:szCs w:val="24"/>
        </w:rPr>
        <w:t>o</w:t>
      </w:r>
      <w:proofErr w:type="spellEnd"/>
      <w:r w:rsidRPr="003A2D05">
        <w:rPr>
          <w:rFonts w:ascii="Times New Roman" w:hAnsi="Times New Roman"/>
          <w:color w:val="000000"/>
          <w:sz w:val="24"/>
          <w:szCs w:val="24"/>
        </w:rPr>
        <w:t xml:space="preserve"> viena spermatozoīda injekcij</w:t>
      </w:r>
      <w:r w:rsidR="00673F55">
        <w:rPr>
          <w:rFonts w:ascii="Times New Roman" w:hAnsi="Times New Roman"/>
          <w:color w:val="000000"/>
          <w:sz w:val="24"/>
          <w:szCs w:val="24"/>
        </w:rPr>
        <w:t>u</w:t>
      </w:r>
      <w:r w:rsidRPr="003A2D05">
        <w:rPr>
          <w:rFonts w:ascii="Times New Roman" w:hAnsi="Times New Roman"/>
          <w:color w:val="000000"/>
          <w:sz w:val="24"/>
          <w:szCs w:val="24"/>
        </w:rPr>
        <w:t xml:space="preserve"> olšūnā (ICSI)</w:t>
      </w:r>
      <w:r w:rsidR="00673F55">
        <w:rPr>
          <w:rFonts w:ascii="Times New Roman" w:hAnsi="Times New Roman"/>
          <w:color w:val="000000"/>
          <w:sz w:val="24"/>
          <w:szCs w:val="24"/>
        </w:rPr>
        <w:t>.</w:t>
      </w:r>
    </w:p>
    <w:p w14:paraId="441D862B" w14:textId="77777777" w:rsidR="00A5051B" w:rsidRDefault="00A5051B" w:rsidP="002E75CA">
      <w:pPr>
        <w:spacing w:before="120" w:after="100"/>
        <w:ind w:left="644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BB0E993" w14:textId="77777777" w:rsidR="00A5051B" w:rsidRPr="002B0B1B" w:rsidRDefault="00A5051B" w:rsidP="00C12B1D">
      <w:pPr>
        <w:numPr>
          <w:ilvl w:val="0"/>
          <w:numId w:val="1"/>
        </w:numPr>
        <w:spacing w:before="120" w:after="100"/>
        <w:ind w:left="-284" w:hanging="294"/>
        <w:jc w:val="both"/>
        <w:rPr>
          <w:rFonts w:ascii="Times New Roman" w:hAnsi="Times New Roman"/>
          <w:b/>
          <w:sz w:val="24"/>
          <w:szCs w:val="24"/>
        </w:rPr>
      </w:pPr>
      <w:r w:rsidRPr="00A5051B">
        <w:rPr>
          <w:rFonts w:ascii="Times New Roman" w:hAnsi="Times New Roman"/>
          <w:b/>
          <w:sz w:val="24"/>
          <w:szCs w:val="24"/>
        </w:rPr>
        <w:t xml:space="preserve">Pakalpojuma sniegšanas vieta: </w:t>
      </w:r>
      <w:r w:rsidRPr="00A5051B">
        <w:rPr>
          <w:rFonts w:ascii="Times New Roman" w:hAnsi="Times New Roman"/>
          <w:sz w:val="24"/>
          <w:szCs w:val="24"/>
        </w:rPr>
        <w:t>Rīga</w:t>
      </w:r>
    </w:p>
    <w:p w14:paraId="0CFD90F6" w14:textId="77777777" w:rsidR="00A5051B" w:rsidRPr="006B7669" w:rsidRDefault="00A5051B" w:rsidP="00C12B1D">
      <w:pPr>
        <w:pStyle w:val="ListParagraph"/>
        <w:numPr>
          <w:ilvl w:val="0"/>
          <w:numId w:val="1"/>
        </w:numPr>
        <w:spacing w:before="120" w:after="100" w:line="259" w:lineRule="auto"/>
        <w:ind w:left="-284" w:hanging="29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Pras</w:t>
      </w:r>
      <w:r w:rsidRPr="006B7669">
        <w:rPr>
          <w:rFonts w:ascii="Times New Roman" w:hAnsi="Times New Roman"/>
          <w:b/>
          <w:sz w:val="24"/>
          <w:szCs w:val="24"/>
        </w:rPr>
        <w:t>ības pakalpojuma sniedzējam:</w:t>
      </w:r>
    </w:p>
    <w:p w14:paraId="76AED7B3" w14:textId="77777777" w:rsidR="00A5051B" w:rsidRPr="00EB24F6" w:rsidRDefault="00A5051B" w:rsidP="002E75CA">
      <w:pPr>
        <w:pStyle w:val="ListParagraph"/>
        <w:numPr>
          <w:ilvl w:val="1"/>
          <w:numId w:val="1"/>
        </w:numPr>
        <w:spacing w:before="120" w:after="100" w:line="259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24F6">
        <w:rPr>
          <w:rFonts w:ascii="Times New Roman" w:hAnsi="Times New Roman"/>
          <w:sz w:val="24"/>
          <w:szCs w:val="24"/>
        </w:rPr>
        <w:t>Ārstniecības iestāde atbilst normatīvajos aktos noteiktajām prasībām, tajā skaitā:</w:t>
      </w:r>
    </w:p>
    <w:p w14:paraId="2C95DFEB" w14:textId="77E1FC45" w:rsidR="00A5051B" w:rsidRDefault="00A5051B" w:rsidP="00663FA6">
      <w:pPr>
        <w:pStyle w:val="ListParagraph"/>
        <w:numPr>
          <w:ilvl w:val="2"/>
          <w:numId w:val="1"/>
        </w:numPr>
        <w:spacing w:before="120" w:after="100" w:line="259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24F6">
        <w:rPr>
          <w:rFonts w:ascii="Times New Roman" w:hAnsi="Times New Roman"/>
          <w:sz w:val="24"/>
          <w:szCs w:val="24"/>
        </w:rPr>
        <w:t xml:space="preserve">Ārstniecības iestāde atbilst Ministru kabineta </w:t>
      </w:r>
      <w:r w:rsidR="002B0B1B">
        <w:rPr>
          <w:rFonts w:ascii="Times New Roman" w:hAnsi="Times New Roman"/>
          <w:sz w:val="24"/>
          <w:szCs w:val="24"/>
        </w:rPr>
        <w:t xml:space="preserve">2009.gada 20.janvāra noteikumos </w:t>
      </w:r>
      <w:r w:rsidRPr="00EB24F6">
        <w:rPr>
          <w:rFonts w:ascii="Times New Roman" w:hAnsi="Times New Roman"/>
          <w:sz w:val="24"/>
          <w:szCs w:val="24"/>
        </w:rPr>
        <w:t xml:space="preserve"> Nr.60 “Noteikumi par obligātajām prasībām ārstniecības iestādēm un to struktūrvienībām”</w:t>
      </w:r>
      <w:r w:rsidR="002B0B1B">
        <w:rPr>
          <w:rFonts w:ascii="Times New Roman" w:hAnsi="Times New Roman"/>
          <w:sz w:val="24"/>
          <w:szCs w:val="24"/>
        </w:rPr>
        <w:t xml:space="preserve"> noteiktajām prasībām dienas stacionār</w:t>
      </w:r>
      <w:r w:rsidR="00673F55">
        <w:rPr>
          <w:rFonts w:ascii="Times New Roman" w:hAnsi="Times New Roman"/>
          <w:sz w:val="24"/>
          <w:szCs w:val="24"/>
        </w:rPr>
        <w:t>am</w:t>
      </w:r>
      <w:r w:rsidRPr="00EB24F6">
        <w:rPr>
          <w:rFonts w:ascii="Times New Roman" w:hAnsi="Times New Roman"/>
          <w:sz w:val="24"/>
          <w:szCs w:val="24"/>
        </w:rPr>
        <w:t>;</w:t>
      </w:r>
    </w:p>
    <w:p w14:paraId="0CBC17CF" w14:textId="16D6253E" w:rsidR="00FA67FC" w:rsidRPr="0042630E" w:rsidRDefault="00673F55" w:rsidP="00663FA6">
      <w:pPr>
        <w:pStyle w:val="ListParagraph"/>
        <w:numPr>
          <w:ilvl w:val="2"/>
          <w:numId w:val="1"/>
        </w:numPr>
        <w:spacing w:before="120" w:after="100" w:line="259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 saņēmusi </w:t>
      </w:r>
      <w:r w:rsidR="00FA67FC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āļu valsts aģentūras</w:t>
      </w:r>
      <w:r w:rsidR="00FA67FC">
        <w:rPr>
          <w:rFonts w:ascii="Times New Roman" w:hAnsi="Times New Roman"/>
          <w:sz w:val="24"/>
          <w:szCs w:val="24"/>
        </w:rPr>
        <w:t xml:space="preserve"> </w:t>
      </w:r>
      <w:r w:rsidR="00FA67FC" w:rsidRPr="00FA67FC">
        <w:rPr>
          <w:rFonts w:ascii="Times New Roman" w:hAnsi="Times New Roman"/>
          <w:sz w:val="24"/>
          <w:szCs w:val="24"/>
        </w:rPr>
        <w:t>izsniegt</w:t>
      </w:r>
      <w:r>
        <w:rPr>
          <w:rFonts w:ascii="Times New Roman" w:hAnsi="Times New Roman"/>
          <w:sz w:val="24"/>
          <w:szCs w:val="24"/>
        </w:rPr>
        <w:t>u</w:t>
      </w:r>
      <w:r w:rsidR="00FA67FC" w:rsidRPr="00FA67FC">
        <w:rPr>
          <w:rFonts w:ascii="Times New Roman" w:hAnsi="Times New Roman"/>
          <w:sz w:val="24"/>
          <w:szCs w:val="24"/>
        </w:rPr>
        <w:t xml:space="preserve"> atļauj</w:t>
      </w:r>
      <w:r>
        <w:rPr>
          <w:rFonts w:ascii="Times New Roman" w:hAnsi="Times New Roman"/>
          <w:sz w:val="24"/>
          <w:szCs w:val="24"/>
        </w:rPr>
        <w:t>u</w:t>
      </w:r>
      <w:r w:rsidR="00FA67FC" w:rsidRPr="00FA67FC">
        <w:rPr>
          <w:rFonts w:ascii="Times New Roman" w:hAnsi="Times New Roman"/>
          <w:sz w:val="24"/>
          <w:szCs w:val="24"/>
        </w:rPr>
        <w:t>/sertifikāt</w:t>
      </w:r>
      <w:r>
        <w:rPr>
          <w:rFonts w:ascii="Times New Roman" w:hAnsi="Times New Roman"/>
          <w:sz w:val="24"/>
          <w:szCs w:val="24"/>
        </w:rPr>
        <w:t>u</w:t>
      </w:r>
      <w:r w:rsidR="00FA67FC" w:rsidRPr="00FA67FC">
        <w:rPr>
          <w:rFonts w:ascii="Times New Roman" w:hAnsi="Times New Roman"/>
          <w:sz w:val="24"/>
          <w:szCs w:val="24"/>
        </w:rPr>
        <w:t xml:space="preserve"> par audu ieguvi, uzkrāšanu un izmantošanu </w:t>
      </w:r>
      <w:r>
        <w:rPr>
          <w:rFonts w:ascii="Times New Roman" w:hAnsi="Times New Roman"/>
          <w:sz w:val="24"/>
          <w:szCs w:val="24"/>
        </w:rPr>
        <w:t xml:space="preserve">atbilstoši </w:t>
      </w:r>
      <w:r w:rsidR="00FA67FC" w:rsidRPr="00FA67FC">
        <w:rPr>
          <w:rFonts w:ascii="Times New Roman" w:hAnsi="Times New Roman"/>
          <w:sz w:val="24"/>
          <w:szCs w:val="24"/>
        </w:rPr>
        <w:t>2013.gada 22.oktobra Ministru kabineta noteikum</w:t>
      </w:r>
      <w:r>
        <w:rPr>
          <w:rFonts w:ascii="Times New Roman" w:hAnsi="Times New Roman"/>
          <w:sz w:val="24"/>
          <w:szCs w:val="24"/>
        </w:rPr>
        <w:t>iem</w:t>
      </w:r>
      <w:r w:rsidR="00FA67FC" w:rsidRPr="00FA67FC">
        <w:rPr>
          <w:rFonts w:ascii="Times New Roman" w:hAnsi="Times New Roman"/>
          <w:sz w:val="24"/>
          <w:szCs w:val="24"/>
        </w:rPr>
        <w:t xml:space="preserve"> Nr.1176 “Cilvēka audu un šūnu izmantošanas kārtība”</w:t>
      </w:r>
      <w:r w:rsidR="00FA67FC" w:rsidRPr="00FA67FC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26EA2715" w14:textId="5B31A224" w:rsidR="0042630E" w:rsidRPr="0042630E" w:rsidRDefault="00673F55" w:rsidP="00663FA6">
      <w:pPr>
        <w:pStyle w:val="ListParagraph"/>
        <w:numPr>
          <w:ilvl w:val="2"/>
          <w:numId w:val="1"/>
        </w:numPr>
        <w:spacing w:before="120" w:after="100" w:line="259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42630E">
        <w:rPr>
          <w:rFonts w:ascii="Times New Roman" w:hAnsi="Times New Roman"/>
          <w:sz w:val="24"/>
          <w:szCs w:val="24"/>
        </w:rPr>
        <w:t>odrošina  dzimumšūnu donora reģistra uzturēšanu atbilstoši Ministru kabineta 2003.gada 16.decembra noteikumos “</w:t>
      </w:r>
      <w:r w:rsidR="0042630E" w:rsidRPr="002B0B1B">
        <w:rPr>
          <w:rFonts w:ascii="Times New Roman" w:hAnsi="Times New Roman"/>
          <w:sz w:val="24"/>
          <w:szCs w:val="24"/>
        </w:rPr>
        <w:t>Medicīniskās apaugļošanas organizatoriskā kārtība un neauglīgo ģimeņu reģistra, medicīniskās apaugļošanas reģistra, dzimumšūnu donoru reģistra un donoru dzimumšūnu banku izveidošanas kārtība</w:t>
      </w:r>
      <w:r w:rsidR="0042630E">
        <w:rPr>
          <w:rFonts w:ascii="Times New Roman" w:hAnsi="Times New Roman"/>
          <w:sz w:val="24"/>
          <w:szCs w:val="24"/>
        </w:rPr>
        <w:t>” noteiktajām prasībām;</w:t>
      </w:r>
    </w:p>
    <w:p w14:paraId="7FEA2405" w14:textId="78F9487C" w:rsidR="00A5051B" w:rsidRPr="004701B5" w:rsidRDefault="002B0B1B" w:rsidP="002E75CA">
      <w:pPr>
        <w:pStyle w:val="ListParagraph"/>
        <w:numPr>
          <w:ilvl w:val="1"/>
          <w:numId w:val="1"/>
        </w:numPr>
        <w:spacing w:before="120" w:after="100"/>
        <w:ind w:hanging="72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Ārstniecības iestāde nodrošina </w:t>
      </w:r>
      <w:r w:rsidR="0011779A">
        <w:rPr>
          <w:rFonts w:ascii="Times New Roman" w:hAnsi="Times New Roman"/>
          <w:sz w:val="24"/>
          <w:szCs w:val="24"/>
        </w:rPr>
        <w:t>telpu, i</w:t>
      </w:r>
      <w:r w:rsidR="0011779A" w:rsidRPr="00EB24F6">
        <w:rPr>
          <w:rFonts w:ascii="Times New Roman" w:hAnsi="Times New Roman"/>
          <w:sz w:val="24"/>
          <w:szCs w:val="24"/>
        </w:rPr>
        <w:t xml:space="preserve">ekārtu </w:t>
      </w:r>
      <w:r w:rsidR="0011779A">
        <w:rPr>
          <w:rFonts w:ascii="Times New Roman" w:hAnsi="Times New Roman"/>
          <w:sz w:val="24"/>
          <w:szCs w:val="24"/>
        </w:rPr>
        <w:t xml:space="preserve">un aprīkojuma </w:t>
      </w:r>
      <w:r>
        <w:rPr>
          <w:rFonts w:ascii="Times New Roman" w:hAnsi="Times New Roman"/>
          <w:sz w:val="24"/>
          <w:szCs w:val="24"/>
        </w:rPr>
        <w:t xml:space="preserve">atbilstību Medicīniskās apaugļošanas tehnoloģijā noteiktajām </w:t>
      </w:r>
      <w:r w:rsidR="00494183">
        <w:rPr>
          <w:rFonts w:ascii="Times New Roman" w:hAnsi="Times New Roman"/>
          <w:sz w:val="24"/>
          <w:szCs w:val="24"/>
        </w:rPr>
        <w:t>prasībām;</w:t>
      </w:r>
    </w:p>
    <w:p w14:paraId="5474DA63" w14:textId="6AF5A709" w:rsidR="00233481" w:rsidRDefault="00233481" w:rsidP="002E75CA">
      <w:pPr>
        <w:pStyle w:val="ListParagraph"/>
        <w:numPr>
          <w:ilvl w:val="1"/>
          <w:numId w:val="1"/>
        </w:numPr>
        <w:spacing w:before="120" w:after="100" w:line="257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481">
        <w:rPr>
          <w:rFonts w:ascii="Times New Roman" w:hAnsi="Times New Roman"/>
          <w:sz w:val="24"/>
          <w:szCs w:val="24"/>
        </w:rPr>
        <w:t xml:space="preserve">Ārstniecības iestādē tiek nodarbināti </w:t>
      </w:r>
      <w:r w:rsidR="0011779A">
        <w:rPr>
          <w:rFonts w:ascii="Times New Roman" w:hAnsi="Times New Roman"/>
          <w:sz w:val="24"/>
          <w:szCs w:val="24"/>
        </w:rPr>
        <w:t>tādi speciālisti, kuri nepieciešami kvalitatīvai</w:t>
      </w:r>
      <w:r w:rsidR="0011779A" w:rsidDel="0011779A">
        <w:rPr>
          <w:rFonts w:ascii="Times New Roman" w:hAnsi="Times New Roman"/>
          <w:sz w:val="24"/>
          <w:szCs w:val="24"/>
        </w:rPr>
        <w:t xml:space="preserve"> </w:t>
      </w:r>
      <w:r w:rsidR="00FA67FC">
        <w:rPr>
          <w:rFonts w:ascii="Times New Roman" w:hAnsi="Times New Roman"/>
          <w:sz w:val="24"/>
          <w:szCs w:val="24"/>
        </w:rPr>
        <w:t>med</w:t>
      </w:r>
      <w:r w:rsidR="0042630E">
        <w:rPr>
          <w:rFonts w:ascii="Times New Roman" w:hAnsi="Times New Roman"/>
          <w:sz w:val="24"/>
          <w:szCs w:val="24"/>
        </w:rPr>
        <w:t>icīniskās apaugļošanas procedūras veikšan</w:t>
      </w:r>
      <w:r w:rsidR="0011779A">
        <w:rPr>
          <w:rFonts w:ascii="Times New Roman" w:hAnsi="Times New Roman"/>
          <w:sz w:val="24"/>
          <w:szCs w:val="24"/>
        </w:rPr>
        <w:t>ai</w:t>
      </w:r>
      <w:r w:rsidR="00FA67FC">
        <w:rPr>
          <w:rFonts w:ascii="Times New Roman" w:hAnsi="Times New Roman"/>
          <w:sz w:val="24"/>
          <w:szCs w:val="24"/>
        </w:rPr>
        <w:t xml:space="preserve">, tajā skaitā </w:t>
      </w:r>
      <w:r w:rsidR="00002026">
        <w:rPr>
          <w:rFonts w:ascii="Times New Roman" w:hAnsi="Times New Roman"/>
          <w:sz w:val="24"/>
          <w:szCs w:val="24"/>
        </w:rPr>
        <w:t>speciālisti</w:t>
      </w:r>
      <w:r w:rsidR="0011779A">
        <w:rPr>
          <w:rFonts w:ascii="Times New Roman" w:hAnsi="Times New Roman"/>
          <w:sz w:val="24"/>
          <w:szCs w:val="24"/>
        </w:rPr>
        <w:t>,</w:t>
      </w:r>
      <w:r w:rsidRPr="00233481">
        <w:rPr>
          <w:rFonts w:ascii="Times New Roman" w:hAnsi="Times New Roman"/>
          <w:sz w:val="24"/>
          <w:szCs w:val="24"/>
        </w:rPr>
        <w:t xml:space="preserve"> kuriem ir šāda pieredze medicīnisko apaugļošanas procesu veikšanā</w:t>
      </w:r>
      <w:r>
        <w:rPr>
          <w:rFonts w:ascii="Times New Roman" w:hAnsi="Times New Roman"/>
          <w:sz w:val="24"/>
          <w:szCs w:val="24"/>
        </w:rPr>
        <w:t>:</w:t>
      </w:r>
    </w:p>
    <w:p w14:paraId="19EA77CA" w14:textId="77777777" w:rsidR="00ED120C" w:rsidRDefault="00160690" w:rsidP="00ED120C">
      <w:pPr>
        <w:pStyle w:val="ListParagraph"/>
        <w:spacing w:before="120" w:after="100" w:line="257" w:lineRule="auto"/>
        <w:ind w:left="1004"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002026">
        <w:rPr>
          <w:rFonts w:ascii="Times New Roman" w:hAnsi="Times New Roman"/>
          <w:sz w:val="24"/>
          <w:szCs w:val="24"/>
        </w:rPr>
        <w:t>.1.</w:t>
      </w:r>
      <w:r w:rsidR="0011779A">
        <w:rPr>
          <w:rFonts w:ascii="Times New Roman" w:hAnsi="Times New Roman"/>
          <w:sz w:val="24"/>
          <w:szCs w:val="24"/>
        </w:rPr>
        <w:t xml:space="preserve"> vismaz 1 (viens) </w:t>
      </w:r>
      <w:r w:rsidR="00002026">
        <w:rPr>
          <w:rFonts w:ascii="Times New Roman" w:hAnsi="Times New Roman"/>
          <w:sz w:val="24"/>
          <w:szCs w:val="24"/>
        </w:rPr>
        <w:t>sertificēts</w:t>
      </w:r>
      <w:r w:rsidR="00233481">
        <w:rPr>
          <w:rFonts w:ascii="Times New Roman" w:hAnsi="Times New Roman"/>
          <w:sz w:val="24"/>
          <w:szCs w:val="24"/>
        </w:rPr>
        <w:t xml:space="preserve"> </w:t>
      </w:r>
      <w:r w:rsidR="00002026">
        <w:rPr>
          <w:rFonts w:ascii="Times New Roman" w:hAnsi="Times New Roman"/>
          <w:sz w:val="24"/>
          <w:szCs w:val="24"/>
        </w:rPr>
        <w:t>ginekologs</w:t>
      </w:r>
      <w:r w:rsidR="00C12B1D">
        <w:rPr>
          <w:rFonts w:ascii="Times New Roman" w:hAnsi="Times New Roman"/>
          <w:sz w:val="24"/>
          <w:szCs w:val="24"/>
        </w:rPr>
        <w:t>, ku</w:t>
      </w:r>
      <w:r w:rsidR="0042630E">
        <w:rPr>
          <w:rFonts w:ascii="Times New Roman" w:hAnsi="Times New Roman"/>
          <w:sz w:val="24"/>
          <w:szCs w:val="24"/>
        </w:rPr>
        <w:t>rš ir veicis</w:t>
      </w:r>
      <w:r w:rsidR="00233481">
        <w:rPr>
          <w:rFonts w:ascii="Times New Roman" w:hAnsi="Times New Roman"/>
          <w:sz w:val="24"/>
          <w:szCs w:val="24"/>
        </w:rPr>
        <w:t xml:space="preserve"> </w:t>
      </w:r>
      <w:r w:rsidR="00233481" w:rsidRPr="00233481">
        <w:rPr>
          <w:rFonts w:ascii="Times New Roman" w:hAnsi="Times New Roman"/>
          <w:sz w:val="24"/>
          <w:szCs w:val="24"/>
        </w:rPr>
        <w:t xml:space="preserve">vismaz 50 </w:t>
      </w:r>
      <w:r w:rsidR="00381E43">
        <w:rPr>
          <w:rFonts w:ascii="Times New Roman" w:hAnsi="Times New Roman"/>
          <w:sz w:val="24"/>
          <w:szCs w:val="24"/>
        </w:rPr>
        <w:t xml:space="preserve">olnīcu </w:t>
      </w:r>
      <w:r w:rsidR="00530F9B" w:rsidRPr="0042630E">
        <w:rPr>
          <w:rFonts w:ascii="Times New Roman" w:hAnsi="Times New Roman"/>
          <w:sz w:val="24"/>
          <w:szCs w:val="24"/>
        </w:rPr>
        <w:t>folikulu</w:t>
      </w:r>
      <w:r w:rsidR="00530F9B">
        <w:t xml:space="preserve"> </w:t>
      </w:r>
      <w:r w:rsidR="00233481" w:rsidRPr="00233481">
        <w:rPr>
          <w:rFonts w:ascii="Times New Roman" w:hAnsi="Times New Roman"/>
          <w:sz w:val="24"/>
          <w:szCs w:val="24"/>
        </w:rPr>
        <w:t>punkcijas</w:t>
      </w:r>
      <w:r w:rsidR="0011779A">
        <w:rPr>
          <w:rFonts w:ascii="Times New Roman" w:hAnsi="Times New Roman"/>
          <w:sz w:val="24"/>
          <w:szCs w:val="24"/>
        </w:rPr>
        <w:t xml:space="preserve"> un</w:t>
      </w:r>
      <w:r w:rsidR="00233481" w:rsidRPr="00233481">
        <w:rPr>
          <w:rFonts w:ascii="Times New Roman" w:hAnsi="Times New Roman"/>
          <w:sz w:val="24"/>
          <w:szCs w:val="24"/>
        </w:rPr>
        <w:t xml:space="preserve"> vismaz 20 </w:t>
      </w:r>
      <w:r w:rsidR="00381E43">
        <w:rPr>
          <w:rFonts w:ascii="Times New Roman" w:hAnsi="Times New Roman"/>
          <w:sz w:val="24"/>
          <w:szCs w:val="24"/>
        </w:rPr>
        <w:t xml:space="preserve">olnīcu </w:t>
      </w:r>
      <w:r w:rsidR="00233481" w:rsidRPr="00233481">
        <w:rPr>
          <w:rFonts w:ascii="Times New Roman" w:hAnsi="Times New Roman"/>
          <w:sz w:val="24"/>
          <w:szCs w:val="24"/>
        </w:rPr>
        <w:t xml:space="preserve">punkcijas </w:t>
      </w:r>
      <w:r w:rsidR="0011779A">
        <w:rPr>
          <w:rFonts w:ascii="Times New Roman" w:hAnsi="Times New Roman"/>
          <w:sz w:val="24"/>
          <w:szCs w:val="24"/>
        </w:rPr>
        <w:t xml:space="preserve">no tām ir veiktas </w:t>
      </w:r>
      <w:r w:rsidR="00233481" w:rsidRPr="00233481">
        <w:rPr>
          <w:rFonts w:ascii="Times New Roman" w:hAnsi="Times New Roman"/>
          <w:sz w:val="24"/>
          <w:szCs w:val="24"/>
        </w:rPr>
        <w:t xml:space="preserve">pēdējo 2 </w:t>
      </w:r>
      <w:r w:rsidR="0011779A">
        <w:rPr>
          <w:rFonts w:ascii="Times New Roman" w:hAnsi="Times New Roman"/>
          <w:sz w:val="24"/>
          <w:szCs w:val="24"/>
        </w:rPr>
        <w:t xml:space="preserve">(divu) </w:t>
      </w:r>
      <w:r w:rsidR="00233481" w:rsidRPr="00233481">
        <w:rPr>
          <w:rFonts w:ascii="Times New Roman" w:hAnsi="Times New Roman"/>
          <w:sz w:val="24"/>
          <w:szCs w:val="24"/>
        </w:rPr>
        <w:t>gadu laikā</w:t>
      </w:r>
      <w:r w:rsidR="00ED120C">
        <w:rPr>
          <w:rFonts w:ascii="Times New Roman" w:hAnsi="Times New Roman"/>
          <w:sz w:val="24"/>
          <w:szCs w:val="24"/>
        </w:rPr>
        <w:t xml:space="preserve">, </w:t>
      </w:r>
      <w:r w:rsidR="00ED120C" w:rsidRPr="00D4456A">
        <w:rPr>
          <w:rFonts w:ascii="Times New Roman" w:hAnsi="Times New Roman"/>
          <w:sz w:val="24"/>
          <w:szCs w:val="24"/>
        </w:rPr>
        <w:t>ievērojot nosacījumu, ka ar katru nākamo gadu ginekologa veikto punkciju apjoms palielinās vismaz par 10%;</w:t>
      </w:r>
    </w:p>
    <w:p w14:paraId="21EAEA7F" w14:textId="20272CB2" w:rsidR="00233481" w:rsidRDefault="00233481" w:rsidP="002E75CA">
      <w:pPr>
        <w:pStyle w:val="ListParagraph"/>
        <w:spacing w:before="120" w:after="100" w:line="257" w:lineRule="auto"/>
        <w:ind w:left="1004" w:hanging="72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0A06DAE" w14:textId="77777777" w:rsidR="00ED120C" w:rsidRDefault="00160690" w:rsidP="00ED120C">
      <w:pPr>
        <w:pStyle w:val="ListParagraph"/>
        <w:spacing w:before="120" w:after="100" w:line="257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</w:t>
      </w:r>
      <w:r w:rsidR="00233481">
        <w:rPr>
          <w:rFonts w:ascii="Times New Roman" w:hAnsi="Times New Roman"/>
          <w:sz w:val="24"/>
          <w:szCs w:val="24"/>
        </w:rPr>
        <w:t>.2.</w:t>
      </w:r>
      <w:r w:rsidR="0011779A">
        <w:rPr>
          <w:rFonts w:ascii="Times New Roman" w:hAnsi="Times New Roman"/>
          <w:sz w:val="24"/>
          <w:szCs w:val="24"/>
        </w:rPr>
        <w:t xml:space="preserve"> vismaz </w:t>
      </w:r>
      <w:r w:rsidR="00D60F8F">
        <w:rPr>
          <w:rFonts w:ascii="Times New Roman" w:hAnsi="Times New Roman"/>
          <w:sz w:val="24"/>
          <w:szCs w:val="24"/>
        </w:rPr>
        <w:t>1 (</w:t>
      </w:r>
      <w:r w:rsidR="0011779A">
        <w:rPr>
          <w:rFonts w:ascii="Times New Roman" w:hAnsi="Times New Roman"/>
          <w:sz w:val="24"/>
          <w:szCs w:val="24"/>
        </w:rPr>
        <w:t>vien</w:t>
      </w:r>
      <w:r w:rsidR="00F2383D">
        <w:rPr>
          <w:rFonts w:ascii="Times New Roman" w:hAnsi="Times New Roman"/>
          <w:sz w:val="24"/>
          <w:szCs w:val="24"/>
        </w:rPr>
        <w:t>s</w:t>
      </w:r>
      <w:r w:rsidR="00D60F8F">
        <w:rPr>
          <w:rFonts w:ascii="Times New Roman" w:hAnsi="Times New Roman"/>
          <w:sz w:val="24"/>
          <w:szCs w:val="24"/>
        </w:rPr>
        <w:t>)</w:t>
      </w:r>
      <w:r w:rsidR="0011779A">
        <w:rPr>
          <w:rFonts w:ascii="Times New Roman" w:hAnsi="Times New Roman"/>
          <w:sz w:val="24"/>
          <w:szCs w:val="24"/>
        </w:rPr>
        <w:t xml:space="preserve"> </w:t>
      </w:r>
      <w:r w:rsidR="00F2383D">
        <w:rPr>
          <w:rFonts w:ascii="Times New Roman" w:hAnsi="Times New Roman"/>
          <w:sz w:val="24"/>
          <w:szCs w:val="24"/>
        </w:rPr>
        <w:t xml:space="preserve">embriologs*, </w:t>
      </w:r>
      <w:r w:rsidR="00FA67FC">
        <w:rPr>
          <w:rFonts w:ascii="Times New Roman" w:hAnsi="Times New Roman"/>
          <w:sz w:val="24"/>
          <w:szCs w:val="24"/>
        </w:rPr>
        <w:t>kur</w:t>
      </w:r>
      <w:r w:rsidR="00F2383D">
        <w:rPr>
          <w:rFonts w:ascii="Times New Roman" w:hAnsi="Times New Roman"/>
          <w:sz w:val="24"/>
          <w:szCs w:val="24"/>
        </w:rPr>
        <w:t>š</w:t>
      </w:r>
      <w:r w:rsidR="00FA67FC">
        <w:rPr>
          <w:rFonts w:ascii="Times New Roman" w:hAnsi="Times New Roman"/>
          <w:sz w:val="24"/>
          <w:szCs w:val="24"/>
        </w:rPr>
        <w:t xml:space="preserve"> ir vei</w:t>
      </w:r>
      <w:r w:rsidR="00F2383D">
        <w:rPr>
          <w:rFonts w:ascii="Times New Roman" w:hAnsi="Times New Roman"/>
          <w:sz w:val="24"/>
          <w:szCs w:val="24"/>
        </w:rPr>
        <w:t>cis</w:t>
      </w:r>
      <w:r w:rsidR="00FA67FC">
        <w:rPr>
          <w:rFonts w:ascii="Times New Roman" w:hAnsi="Times New Roman"/>
          <w:sz w:val="24"/>
          <w:szCs w:val="24"/>
        </w:rPr>
        <w:t xml:space="preserve"> vismaz </w:t>
      </w:r>
      <w:r w:rsidR="00233481">
        <w:rPr>
          <w:rFonts w:ascii="Times New Roman" w:hAnsi="Times New Roman"/>
          <w:sz w:val="24"/>
          <w:szCs w:val="24"/>
        </w:rPr>
        <w:t xml:space="preserve"> </w:t>
      </w:r>
      <w:r w:rsidR="00233481" w:rsidRPr="00233481">
        <w:rPr>
          <w:rFonts w:ascii="Times New Roman" w:hAnsi="Times New Roman"/>
          <w:sz w:val="24"/>
          <w:szCs w:val="24"/>
        </w:rPr>
        <w:t xml:space="preserve">50 </w:t>
      </w:r>
      <w:proofErr w:type="spellStart"/>
      <w:r w:rsidR="00FA67FC">
        <w:rPr>
          <w:rFonts w:ascii="Times New Roman" w:hAnsi="Times New Roman"/>
          <w:sz w:val="24"/>
          <w:szCs w:val="24"/>
        </w:rPr>
        <w:t>i</w:t>
      </w:r>
      <w:r w:rsidR="00FA67FC" w:rsidRPr="00FA67FC">
        <w:rPr>
          <w:rFonts w:ascii="Times New Roman" w:hAnsi="Times New Roman"/>
          <w:sz w:val="24"/>
          <w:szCs w:val="24"/>
        </w:rPr>
        <w:t>ntracelulāra</w:t>
      </w:r>
      <w:proofErr w:type="spellEnd"/>
      <w:r w:rsidR="00FA67FC" w:rsidRPr="00FA67FC">
        <w:rPr>
          <w:rFonts w:ascii="Times New Roman" w:hAnsi="Times New Roman"/>
          <w:sz w:val="24"/>
          <w:szCs w:val="24"/>
        </w:rPr>
        <w:t xml:space="preserve"> viena spermatozoīda injekcija</w:t>
      </w:r>
      <w:r w:rsidR="0042630E">
        <w:rPr>
          <w:rFonts w:ascii="Times New Roman" w:hAnsi="Times New Roman"/>
          <w:sz w:val="24"/>
          <w:szCs w:val="24"/>
        </w:rPr>
        <w:t>s</w:t>
      </w:r>
      <w:r w:rsidR="00FA67FC" w:rsidRPr="00FA67FC">
        <w:rPr>
          <w:rFonts w:ascii="Times New Roman" w:hAnsi="Times New Roman"/>
          <w:sz w:val="24"/>
          <w:szCs w:val="24"/>
        </w:rPr>
        <w:t xml:space="preserve"> olšūnā </w:t>
      </w:r>
      <w:r w:rsidR="00233481" w:rsidRPr="00233481">
        <w:rPr>
          <w:rFonts w:ascii="Times New Roman" w:hAnsi="Times New Roman"/>
          <w:sz w:val="24"/>
          <w:szCs w:val="24"/>
        </w:rPr>
        <w:t xml:space="preserve">pēdējo 2 </w:t>
      </w:r>
      <w:r w:rsidR="00D60F8F">
        <w:rPr>
          <w:rFonts w:ascii="Times New Roman" w:hAnsi="Times New Roman"/>
          <w:sz w:val="24"/>
          <w:szCs w:val="24"/>
        </w:rPr>
        <w:t xml:space="preserve">(divu) </w:t>
      </w:r>
      <w:r w:rsidR="00233481" w:rsidRPr="00233481">
        <w:rPr>
          <w:rFonts w:ascii="Times New Roman" w:hAnsi="Times New Roman"/>
          <w:sz w:val="24"/>
          <w:szCs w:val="24"/>
        </w:rPr>
        <w:t>gadu laikā</w:t>
      </w:r>
      <w:r w:rsidR="00ED120C">
        <w:rPr>
          <w:rFonts w:ascii="Times New Roman" w:hAnsi="Times New Roman"/>
          <w:sz w:val="24"/>
          <w:szCs w:val="24"/>
        </w:rPr>
        <w:t xml:space="preserve">, </w:t>
      </w:r>
      <w:r w:rsidR="00ED120C" w:rsidRPr="00D4456A">
        <w:rPr>
          <w:rFonts w:ascii="Times New Roman" w:hAnsi="Times New Roman"/>
          <w:sz w:val="24"/>
          <w:szCs w:val="24"/>
        </w:rPr>
        <w:t>ievērojot nosacījumu, ka ar katru nākamo gadu embriologa veikto injekciju apjoms palielinās vismaz par 10%;</w:t>
      </w:r>
    </w:p>
    <w:p w14:paraId="568EE8EF" w14:textId="77777777" w:rsidR="00233481" w:rsidRPr="00E830E9" w:rsidRDefault="00160690" w:rsidP="00C12B1D">
      <w:pPr>
        <w:pStyle w:val="ListParagraph"/>
        <w:spacing w:before="120" w:after="100" w:line="257" w:lineRule="auto"/>
        <w:ind w:left="-14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FA67FC">
        <w:rPr>
          <w:rFonts w:ascii="Times New Roman" w:hAnsi="Times New Roman"/>
          <w:sz w:val="24"/>
          <w:szCs w:val="24"/>
        </w:rPr>
        <w:t xml:space="preserve">. </w:t>
      </w:r>
      <w:r w:rsidR="00233481" w:rsidRPr="00E830E9">
        <w:rPr>
          <w:rFonts w:ascii="Times New Roman" w:hAnsi="Times New Roman"/>
          <w:sz w:val="24"/>
          <w:szCs w:val="24"/>
        </w:rPr>
        <w:t>Pakalpojuma sniedzējam būs pienākums ievērot šādas prasības pakalpojuma organizācijai:</w:t>
      </w:r>
    </w:p>
    <w:p w14:paraId="3D6F84BD" w14:textId="273CF36D" w:rsidR="00ED120C" w:rsidRDefault="00ED120C" w:rsidP="00ED120C">
      <w:pPr>
        <w:pStyle w:val="ListParagraph"/>
        <w:numPr>
          <w:ilvl w:val="2"/>
          <w:numId w:val="10"/>
        </w:numPr>
        <w:spacing w:before="12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ED120C">
        <w:rPr>
          <w:rFonts w:ascii="Times New Roman" w:eastAsia="Times New Roman" w:hAnsi="Times New Roman"/>
          <w:sz w:val="24"/>
          <w:szCs w:val="24"/>
          <w:lang w:eastAsia="lv-LV"/>
        </w:rPr>
        <w:t xml:space="preserve">Ārstniecības iestāde </w:t>
      </w:r>
      <w:r w:rsidRPr="00ED120C">
        <w:rPr>
          <w:rFonts w:ascii="Times New Roman" w:hAnsi="Times New Roman"/>
          <w:sz w:val="24"/>
          <w:szCs w:val="24"/>
        </w:rPr>
        <w:t>nodrošina pacientu pierakstu medicīniskās apaugļošanas pakalpojuma saņemšanai, nepieciešamības gadījumā veidojot pakalpojumu saņēmēju pretendentu rindu</w:t>
      </w:r>
      <w:r>
        <w:rPr>
          <w:rFonts w:ascii="Times New Roman" w:hAnsi="Times New Roman"/>
          <w:sz w:val="24"/>
          <w:szCs w:val="24"/>
        </w:rPr>
        <w:t xml:space="preserve"> un</w:t>
      </w:r>
      <w:r w:rsidRPr="00ED120C">
        <w:rPr>
          <w:rFonts w:ascii="Times New Roman" w:hAnsi="Times New Roman"/>
          <w:sz w:val="24"/>
          <w:szCs w:val="24"/>
        </w:rPr>
        <w:t xml:space="preserve"> ievadot informāciju NVD pārziņā esošajā informācijas sistēmā;</w:t>
      </w:r>
    </w:p>
    <w:p w14:paraId="40591213" w14:textId="0E3735C5" w:rsidR="00ED120C" w:rsidRPr="00ED120C" w:rsidRDefault="00ED120C" w:rsidP="00ED120C">
      <w:pPr>
        <w:pStyle w:val="ListParagraph"/>
        <w:spacing w:before="120" w:after="10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439220AE" w14:textId="4D598AF6" w:rsidR="001B183E" w:rsidRPr="00ED120C" w:rsidRDefault="001B183E" w:rsidP="00ED120C">
      <w:pPr>
        <w:pStyle w:val="ListParagraph"/>
        <w:numPr>
          <w:ilvl w:val="2"/>
          <w:numId w:val="10"/>
        </w:numPr>
        <w:spacing w:before="120" w:after="100" w:line="240" w:lineRule="auto"/>
        <w:ind w:left="114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D120C">
        <w:rPr>
          <w:rFonts w:ascii="Times New Roman" w:eastAsia="Times New Roman" w:hAnsi="Times New Roman"/>
          <w:sz w:val="24"/>
          <w:szCs w:val="24"/>
          <w:lang w:eastAsia="lv-LV"/>
        </w:rPr>
        <w:t>Ārstniecības iestāde nodrošina, ka rindā uz medicīnisko apaugļošanu tiek pierakstīt</w:t>
      </w:r>
      <w:r w:rsidR="00FA4E30" w:rsidRPr="00ED120C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Pr="00ED120C">
        <w:rPr>
          <w:rFonts w:ascii="Times New Roman" w:eastAsia="Times New Roman" w:hAnsi="Times New Roman"/>
          <w:sz w:val="24"/>
          <w:szCs w:val="24"/>
          <w:lang w:eastAsia="lv-LV"/>
        </w:rPr>
        <w:t xml:space="preserve"> tikai pacienti, kuriem neauglības ārstēšanai ir nepieciešams veikt medicīnisko apaugļošanu;</w:t>
      </w:r>
    </w:p>
    <w:p w14:paraId="0CD44EAB" w14:textId="093261D8" w:rsidR="00ED120C" w:rsidRPr="00ED120C" w:rsidRDefault="001B183E" w:rsidP="00ED120C">
      <w:pPr>
        <w:pStyle w:val="ListParagraph"/>
        <w:numPr>
          <w:ilvl w:val="2"/>
          <w:numId w:val="10"/>
        </w:numPr>
        <w:spacing w:before="120" w:after="100" w:line="240" w:lineRule="auto"/>
        <w:ind w:left="114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D120C">
        <w:rPr>
          <w:rFonts w:ascii="Times New Roman" w:eastAsia="Times New Roman" w:hAnsi="Times New Roman"/>
          <w:sz w:val="24"/>
          <w:szCs w:val="24"/>
          <w:lang w:eastAsia="lv-LV"/>
        </w:rPr>
        <w:t xml:space="preserve">Nepieciešamības gadījumā ārstniecības iestādei jāinformē pacients par iespēju saņemt </w:t>
      </w:r>
      <w:r w:rsidR="00FA4E30" w:rsidRPr="00ED120C">
        <w:rPr>
          <w:rFonts w:ascii="Times New Roman" w:eastAsia="Times New Roman" w:hAnsi="Times New Roman"/>
          <w:sz w:val="24"/>
          <w:szCs w:val="24"/>
          <w:lang w:eastAsia="lv-LV"/>
        </w:rPr>
        <w:t xml:space="preserve">tos kā </w:t>
      </w:r>
      <w:r w:rsidRPr="00ED120C">
        <w:rPr>
          <w:rFonts w:ascii="Times New Roman" w:eastAsia="Times New Roman" w:hAnsi="Times New Roman"/>
          <w:sz w:val="24"/>
          <w:szCs w:val="24"/>
          <w:lang w:eastAsia="lv-LV"/>
        </w:rPr>
        <w:t>no valsts budžeta apmaksāt</w:t>
      </w:r>
      <w:r w:rsidR="00FA4E30" w:rsidRPr="00ED120C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Pr="00ED120C">
        <w:rPr>
          <w:rFonts w:ascii="Times New Roman" w:eastAsia="Times New Roman" w:hAnsi="Times New Roman"/>
          <w:sz w:val="24"/>
          <w:szCs w:val="24"/>
          <w:lang w:eastAsia="lv-LV"/>
        </w:rPr>
        <w:t xml:space="preserve"> izmeklējum</w:t>
      </w:r>
      <w:r w:rsidR="00FA4E30" w:rsidRPr="00ED120C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Pr="00ED120C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0A78748" w14:textId="1E26BE60" w:rsidR="00233481" w:rsidRPr="00ED120C" w:rsidRDefault="00F2383D" w:rsidP="00ED120C">
      <w:pPr>
        <w:pStyle w:val="ListParagraph"/>
        <w:numPr>
          <w:ilvl w:val="2"/>
          <w:numId w:val="10"/>
        </w:numPr>
        <w:spacing w:before="120" w:after="100" w:line="240" w:lineRule="auto"/>
        <w:ind w:left="114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D120C">
        <w:rPr>
          <w:rFonts w:ascii="Times New Roman" w:eastAsia="Times New Roman" w:hAnsi="Times New Roman"/>
          <w:sz w:val="24"/>
          <w:szCs w:val="24"/>
          <w:lang w:eastAsia="lv-LV"/>
        </w:rPr>
        <w:t>Ārstniecības iestādei jānodrošina pacienta informēšana</w:t>
      </w:r>
      <w:r w:rsidR="00233481" w:rsidRPr="00ED120C">
        <w:rPr>
          <w:rFonts w:ascii="Times New Roman" w:eastAsia="Times New Roman" w:hAnsi="Times New Roman"/>
          <w:sz w:val="24"/>
          <w:szCs w:val="24"/>
          <w:lang w:eastAsia="lv-LV"/>
        </w:rPr>
        <w:t xml:space="preserve"> par ārstēšanas procesu, tā riskiem un blaknēm un citiem nozīmīgiem jautājumiem, kas saitīti ar konkrēto ārstēšanas metodi;</w:t>
      </w:r>
    </w:p>
    <w:p w14:paraId="05FDA063" w14:textId="3F990CC7" w:rsidR="00233481" w:rsidRDefault="00233481" w:rsidP="00ED120C">
      <w:pPr>
        <w:numPr>
          <w:ilvl w:val="2"/>
          <w:numId w:val="10"/>
        </w:numPr>
        <w:tabs>
          <w:tab w:val="left" w:pos="426"/>
        </w:tabs>
        <w:spacing w:before="12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Ārstniecības iestādē vismaz 80% no </w:t>
      </w:r>
      <w:r w:rsidR="00160690">
        <w:rPr>
          <w:rFonts w:ascii="Times New Roman" w:eastAsia="Times New Roman" w:hAnsi="Times New Roman"/>
          <w:sz w:val="24"/>
          <w:szCs w:val="24"/>
          <w:lang w:eastAsia="lv-LV"/>
        </w:rPr>
        <w:t>3.</w:t>
      </w:r>
      <w:r w:rsidR="00F332EA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160690">
        <w:rPr>
          <w:rFonts w:ascii="Times New Roman" w:eastAsia="Times New Roman" w:hAnsi="Times New Roman"/>
          <w:sz w:val="24"/>
          <w:szCs w:val="24"/>
          <w:lang w:eastAsia="lv-LV"/>
        </w:rPr>
        <w:t>.puntā minētajām procedūrām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veic speciālisti, kuri </w:t>
      </w:r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 xml:space="preserve">atbilst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3.</w:t>
      </w:r>
      <w:r w:rsidR="00F332EA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60690">
        <w:rPr>
          <w:rFonts w:ascii="Times New Roman" w:eastAsia="Times New Roman" w:hAnsi="Times New Roman"/>
          <w:sz w:val="24"/>
          <w:szCs w:val="24"/>
          <w:lang w:eastAsia="lv-LV"/>
        </w:rPr>
        <w:t>1. un 3.</w:t>
      </w:r>
      <w:r w:rsidR="00F332EA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160690">
        <w:rPr>
          <w:rFonts w:ascii="Times New Roman" w:eastAsia="Times New Roman" w:hAnsi="Times New Roman"/>
          <w:sz w:val="24"/>
          <w:szCs w:val="24"/>
          <w:lang w:eastAsia="lv-LV"/>
        </w:rPr>
        <w:t>.2.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punktā noteikt</w:t>
      </w:r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>ajām prasībām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6DFEB786" w14:textId="5D9DF9EC" w:rsidR="002E75CA" w:rsidRDefault="00160690" w:rsidP="00ED120C">
      <w:pPr>
        <w:numPr>
          <w:ilvl w:val="2"/>
          <w:numId w:val="10"/>
        </w:numPr>
        <w:spacing w:before="12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Ārstniecības iestāde </w:t>
      </w:r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nodrošina, ka personai, kura ietilpst vecuma grupā </w:t>
      </w:r>
      <w:r w:rsidR="009D38F7">
        <w:rPr>
          <w:rFonts w:ascii="Times New Roman" w:eastAsia="Times New Roman" w:hAnsi="Times New Roman"/>
          <w:sz w:val="24"/>
          <w:szCs w:val="24"/>
          <w:lang w:eastAsia="lv-LV"/>
        </w:rPr>
        <w:t>līdz 35 gadiem</w:t>
      </w:r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 xml:space="preserve"> un tiek veikts </w:t>
      </w:r>
      <w:r w:rsidR="009D38F7">
        <w:rPr>
          <w:rFonts w:ascii="Times New Roman" w:eastAsia="Times New Roman" w:hAnsi="Times New Roman"/>
          <w:sz w:val="24"/>
          <w:szCs w:val="24"/>
          <w:lang w:eastAsia="lv-LV"/>
        </w:rPr>
        <w:t xml:space="preserve">svaigā embrija </w:t>
      </w:r>
      <w:proofErr w:type="spellStart"/>
      <w:r w:rsidR="009D38F7">
        <w:rPr>
          <w:rFonts w:ascii="Times New Roman" w:eastAsia="Times New Roman" w:hAnsi="Times New Roman"/>
          <w:sz w:val="24"/>
          <w:szCs w:val="24"/>
          <w:lang w:eastAsia="lv-LV"/>
        </w:rPr>
        <w:t>transfēr</w:t>
      </w:r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proofErr w:type="spellEnd"/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9D38F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vienas procedūras laikā</w:t>
      </w:r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 xml:space="preserve"> veic tikai viena embrija pārnesi</w:t>
      </w:r>
      <w:r w:rsidR="009D38F7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FD38D68" w14:textId="77777777" w:rsidR="00870C38" w:rsidRDefault="00870C38" w:rsidP="00ED120C">
      <w:pPr>
        <w:numPr>
          <w:ilvl w:val="2"/>
          <w:numId w:val="10"/>
        </w:numPr>
        <w:spacing w:before="12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Ārstniecības iestāde </w:t>
      </w:r>
      <w:r w:rsidRPr="00870C38">
        <w:rPr>
          <w:rFonts w:ascii="Times New Roman" w:eastAsia="Times New Roman" w:hAnsi="Times New Roman"/>
          <w:sz w:val="24"/>
          <w:szCs w:val="24"/>
          <w:lang w:eastAsia="lv-LV"/>
        </w:rPr>
        <w:t>nodrošina informācijas apmaiņu ar citām ārstniecības iestādēm, kuras sniedz medicīnisko apaugļošanas pakalpojumu, vismaz tādā apjomā, lai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nodrošinātu </w:t>
      </w:r>
      <w:r w:rsidRPr="00870C38">
        <w:rPr>
          <w:rFonts w:ascii="Times New Roman" w:eastAsia="Times New Roman" w:hAnsi="Times New Roman"/>
          <w:sz w:val="24"/>
          <w:szCs w:val="24"/>
          <w:lang w:eastAsia="lv-LV"/>
        </w:rPr>
        <w:t>Seksuālās 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 reproduktīvās veselības likuma 19.pantā noteikto prasību</w:t>
      </w:r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>, ievērojot nosacījumu, ka informācija jāsniedz 3 (trīs) darba dienu laikā no pieprasījuma saņemšanas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0BA78AB" w14:textId="77777777" w:rsidR="001B183E" w:rsidRDefault="00233481" w:rsidP="00ED120C">
      <w:pPr>
        <w:numPr>
          <w:ilvl w:val="2"/>
          <w:numId w:val="10"/>
        </w:numPr>
        <w:spacing w:before="12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Ārstniecības iestāde</w:t>
      </w:r>
      <w:r w:rsidR="001B183E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nodrošina, ka</w:t>
      </w:r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1B183E">
        <w:rPr>
          <w:rFonts w:ascii="Times New Roman" w:eastAsia="Times New Roman" w:hAnsi="Times New Roman"/>
          <w:sz w:val="24"/>
          <w:szCs w:val="24"/>
          <w:lang w:eastAsia="lv-LV"/>
        </w:rPr>
        <w:t xml:space="preserve"> sniedzot no valsts budžeta apmaksātu medicīnisko apaugļošanu, no pacienta tiek iekasēta tikai normatīv</w:t>
      </w:r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>aj</w:t>
      </w:r>
      <w:r w:rsidR="001B183E">
        <w:rPr>
          <w:rFonts w:ascii="Times New Roman" w:eastAsia="Times New Roman" w:hAnsi="Times New Roman"/>
          <w:sz w:val="24"/>
          <w:szCs w:val="24"/>
          <w:lang w:eastAsia="lv-LV"/>
        </w:rPr>
        <w:t>os aktos noteiktā pacienta iemaksa;</w:t>
      </w:r>
    </w:p>
    <w:p w14:paraId="1CB4181B" w14:textId="0C8616E3" w:rsidR="00233481" w:rsidRPr="00E830E9" w:rsidRDefault="001B183E" w:rsidP="00ED120C">
      <w:pPr>
        <w:numPr>
          <w:ilvl w:val="2"/>
          <w:numId w:val="10"/>
        </w:numPr>
        <w:spacing w:before="12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233481" w:rsidRPr="00E830E9">
        <w:rPr>
          <w:rFonts w:ascii="Times New Roman" w:eastAsia="Times New Roman" w:hAnsi="Times New Roman"/>
          <w:sz w:val="24"/>
          <w:szCs w:val="24"/>
          <w:lang w:eastAsia="lv-LV"/>
        </w:rPr>
        <w:t>acientam izrakstoties no ārstniecības iestādes, veidlapā Nr.027/u</w:t>
      </w:r>
      <w:r w:rsidR="00233481" w:rsidRPr="00E830E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233481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“Izraksts no stacionārā/ambulatorā pacienta </w:t>
      </w:r>
      <w:r w:rsidR="00233481" w:rsidRPr="00E830E9">
        <w:rPr>
          <w:rFonts w:ascii="Times New Roman" w:eastAsia="Times New Roman" w:hAnsi="Times New Roman"/>
          <w:bCs/>
          <w:sz w:val="24"/>
          <w:szCs w:val="24"/>
          <w:lang w:eastAsia="lv-LV"/>
        </w:rPr>
        <w:t>(vajadzīgo pasvītrot)</w:t>
      </w:r>
      <w:r w:rsidR="00233481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medicīniskās kartes” norāda tālāko ārstēšanas taktiku, plānotos dinamiskās novērošanas izmeklējumus, informāciju par medikamentu lietošanas kārtību un citu pacienta turpmākai ārstēšanai nozīmīgu informāciju</w:t>
      </w:r>
      <w:r w:rsidR="00B74401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40D916F" w14:textId="3AC4F541" w:rsidR="004701B5" w:rsidRPr="00590C69" w:rsidRDefault="004701B5" w:rsidP="00590C69">
      <w:pPr>
        <w:pStyle w:val="ListParagraph"/>
        <w:numPr>
          <w:ilvl w:val="0"/>
          <w:numId w:val="10"/>
        </w:numPr>
        <w:spacing w:after="100" w:line="257" w:lineRule="auto"/>
        <w:rPr>
          <w:rFonts w:ascii="Times New Roman" w:hAnsi="Times New Roman"/>
          <w:b/>
          <w:sz w:val="24"/>
          <w:szCs w:val="24"/>
        </w:rPr>
      </w:pPr>
      <w:r w:rsidRPr="00590C69">
        <w:rPr>
          <w:rFonts w:ascii="Times New Roman" w:hAnsi="Times New Roman"/>
          <w:b/>
          <w:sz w:val="24"/>
          <w:szCs w:val="24"/>
        </w:rPr>
        <w:t>Pakalpojuma kvalitātes vērtēšanas kritēriji:</w:t>
      </w:r>
    </w:p>
    <w:p w14:paraId="5791300E" w14:textId="460EFDCD" w:rsidR="004701B5" w:rsidRPr="00590C69" w:rsidRDefault="004701B5" w:rsidP="00590C69">
      <w:pPr>
        <w:pStyle w:val="ListParagraph"/>
        <w:numPr>
          <w:ilvl w:val="1"/>
          <w:numId w:val="12"/>
        </w:numPr>
        <w:spacing w:after="100" w:line="257" w:lineRule="auto"/>
        <w:jc w:val="both"/>
        <w:rPr>
          <w:rFonts w:ascii="Times New Roman" w:hAnsi="Times New Roman"/>
          <w:sz w:val="24"/>
          <w:szCs w:val="24"/>
        </w:rPr>
      </w:pPr>
      <w:r w:rsidRPr="00590C69">
        <w:rPr>
          <w:rFonts w:ascii="Times New Roman" w:hAnsi="Times New Roman"/>
          <w:sz w:val="24"/>
          <w:szCs w:val="24"/>
        </w:rPr>
        <w:t xml:space="preserve"> Lai izvērtētu pakalpojumu kvalitāti, NVD reizi gadā vērtē</w:t>
      </w:r>
      <w:r w:rsidR="00984EDC" w:rsidRPr="00590C69">
        <w:rPr>
          <w:rFonts w:ascii="Times New Roman" w:hAnsi="Times New Roman"/>
          <w:sz w:val="24"/>
          <w:szCs w:val="24"/>
        </w:rPr>
        <w:t xml:space="preserve"> </w:t>
      </w:r>
      <w:r w:rsidRPr="00590C69">
        <w:rPr>
          <w:rFonts w:ascii="Times New Roman" w:hAnsi="Times New Roman"/>
          <w:sz w:val="24"/>
          <w:szCs w:val="24"/>
        </w:rPr>
        <w:t xml:space="preserve">šādus </w:t>
      </w:r>
      <w:r w:rsidR="00984EDC" w:rsidRPr="00590C69">
        <w:rPr>
          <w:rFonts w:ascii="Times New Roman" w:hAnsi="Times New Roman"/>
          <w:sz w:val="24"/>
          <w:szCs w:val="24"/>
        </w:rPr>
        <w:t>kritērijus</w:t>
      </w:r>
      <w:r w:rsidRPr="00590C69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810"/>
        <w:gridCol w:w="3104"/>
        <w:gridCol w:w="3738"/>
      </w:tblGrid>
      <w:tr w:rsidR="00984EDC" w14:paraId="117715E2" w14:textId="77777777" w:rsidTr="00984EDC">
        <w:tc>
          <w:tcPr>
            <w:tcW w:w="810" w:type="dxa"/>
          </w:tcPr>
          <w:p w14:paraId="77ED7607" w14:textId="77777777" w:rsidR="00984EDC" w:rsidRDefault="00984EDC" w:rsidP="00984EDC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14:paraId="6BD5EECA" w14:textId="77777777" w:rsidR="00984EDC" w:rsidRDefault="00984EDC" w:rsidP="00984EDC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Kritērija nosaukums</w:t>
            </w:r>
          </w:p>
        </w:tc>
        <w:tc>
          <w:tcPr>
            <w:tcW w:w="3738" w:type="dxa"/>
          </w:tcPr>
          <w:p w14:paraId="0936AC27" w14:textId="77777777" w:rsidR="00984EDC" w:rsidRDefault="00984EDC" w:rsidP="00984EDC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Metodika</w:t>
            </w:r>
          </w:p>
        </w:tc>
      </w:tr>
      <w:tr w:rsidR="00984EDC" w14:paraId="7114C783" w14:textId="77777777" w:rsidTr="00984EDC">
        <w:tc>
          <w:tcPr>
            <w:tcW w:w="810" w:type="dxa"/>
          </w:tcPr>
          <w:p w14:paraId="208F3E0B" w14:textId="77777777" w:rsidR="00984EDC" w:rsidRDefault="00B74401" w:rsidP="00984EDC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  <w:r w:rsidR="00984E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14:paraId="324BF5A7" w14:textId="77777777" w:rsidR="00984EDC" w:rsidRDefault="00984EDC" w:rsidP="00984EDC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84EDC">
              <w:rPr>
                <w:rFonts w:ascii="Times New Roman" w:hAnsi="Times New Roman"/>
                <w:sz w:val="24"/>
                <w:szCs w:val="24"/>
              </w:rPr>
              <w:t xml:space="preserve">mbriju daudzums svaigā embriju </w:t>
            </w:r>
            <w:proofErr w:type="spellStart"/>
            <w:r w:rsidRPr="00984EDC">
              <w:rPr>
                <w:rFonts w:ascii="Times New Roman" w:hAnsi="Times New Roman"/>
                <w:sz w:val="24"/>
                <w:szCs w:val="24"/>
              </w:rPr>
              <w:t>transfērā</w:t>
            </w:r>
            <w:proofErr w:type="spellEnd"/>
            <w:r w:rsidRPr="00984EDC">
              <w:rPr>
                <w:rFonts w:ascii="Times New Roman" w:hAnsi="Times New Roman"/>
                <w:sz w:val="24"/>
                <w:szCs w:val="24"/>
              </w:rPr>
              <w:t>, pacientu grupa līdz 35 gadiem</w:t>
            </w:r>
          </w:p>
        </w:tc>
        <w:tc>
          <w:tcPr>
            <w:tcW w:w="3738" w:type="dxa"/>
          </w:tcPr>
          <w:p w14:paraId="271BD05A" w14:textId="2AAD0FA2" w:rsidR="00984EDC" w:rsidRDefault="00984EDC" w:rsidP="00B74401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Dati </w:t>
            </w:r>
            <w:r w:rsidR="002E75CA">
              <w:rPr>
                <w:rFonts w:ascii="Times New Roman" w:hAnsi="Times New Roman"/>
                <w:sz w:val="24"/>
                <w:szCs w:val="24"/>
              </w:rPr>
              <w:t>tiek iegūti no NVD pārziņā esošām informācijas sistēmām</w:t>
            </w:r>
          </w:p>
        </w:tc>
      </w:tr>
      <w:tr w:rsidR="00984EDC" w14:paraId="10A958C9" w14:textId="77777777" w:rsidTr="00984EDC">
        <w:tc>
          <w:tcPr>
            <w:tcW w:w="810" w:type="dxa"/>
          </w:tcPr>
          <w:p w14:paraId="4536DCFB" w14:textId="77777777" w:rsidR="00984EDC" w:rsidRDefault="00B74401" w:rsidP="00984EDC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4.4.</w:t>
            </w:r>
            <w:r w:rsidR="00984ED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104" w:type="dxa"/>
          </w:tcPr>
          <w:p w14:paraId="64C874B4" w14:textId="4C3D908B" w:rsidR="00984EDC" w:rsidRDefault="00984EDC" w:rsidP="00B74401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EDC">
              <w:rPr>
                <w:rFonts w:ascii="Times New Roman" w:hAnsi="Times New Roman"/>
                <w:sz w:val="24"/>
                <w:szCs w:val="24"/>
              </w:rPr>
              <w:t>Klīniskās grūtniecības rādītājs, pacientu grup</w:t>
            </w:r>
            <w:r w:rsidR="00B74401">
              <w:rPr>
                <w:rFonts w:ascii="Times New Roman" w:hAnsi="Times New Roman"/>
                <w:sz w:val="24"/>
                <w:szCs w:val="24"/>
              </w:rPr>
              <w:t>a</w:t>
            </w:r>
            <w:r w:rsidRPr="00984EDC">
              <w:rPr>
                <w:rFonts w:ascii="Times New Roman" w:hAnsi="Times New Roman"/>
                <w:sz w:val="24"/>
                <w:szCs w:val="24"/>
              </w:rPr>
              <w:t xml:space="preserve"> līdz 35 gadiem</w:t>
            </w:r>
          </w:p>
        </w:tc>
        <w:tc>
          <w:tcPr>
            <w:tcW w:w="3738" w:type="dxa"/>
          </w:tcPr>
          <w:p w14:paraId="79321054" w14:textId="70DF0467" w:rsidR="00984EDC" w:rsidRDefault="002E75CA" w:rsidP="00B74401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Dati tiek iegūti no NVD pārziņā esošām informācijas sistēmām</w:t>
            </w:r>
          </w:p>
        </w:tc>
      </w:tr>
      <w:tr w:rsidR="00984EDC" w14:paraId="0865087D" w14:textId="77777777" w:rsidTr="00984EDC">
        <w:tc>
          <w:tcPr>
            <w:tcW w:w="810" w:type="dxa"/>
          </w:tcPr>
          <w:p w14:paraId="4BBFCAA5" w14:textId="77777777" w:rsidR="00984EDC" w:rsidRDefault="00B74401" w:rsidP="00B74401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  <w:r w:rsidR="00984E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14:paraId="17CDFB8D" w14:textId="77777777" w:rsidR="00984EDC" w:rsidRDefault="00984EDC" w:rsidP="00984EDC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EDC">
              <w:rPr>
                <w:rFonts w:ascii="Times New Roman" w:hAnsi="Times New Roman"/>
                <w:sz w:val="24"/>
                <w:szCs w:val="24"/>
              </w:rPr>
              <w:t>Pēc 37.grūtniecības nedēļas dzimušo veselo bērnu skaits (</w:t>
            </w:r>
            <w:proofErr w:type="spellStart"/>
            <w:r w:rsidRPr="00984EDC">
              <w:rPr>
                <w:rFonts w:ascii="Times New Roman" w:hAnsi="Times New Roman"/>
                <w:sz w:val="24"/>
                <w:szCs w:val="24"/>
              </w:rPr>
              <w:t>vienaugļu</w:t>
            </w:r>
            <w:proofErr w:type="spellEnd"/>
            <w:r w:rsidRPr="00984E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84EDC">
              <w:rPr>
                <w:rFonts w:ascii="Times New Roman" w:hAnsi="Times New Roman"/>
                <w:sz w:val="24"/>
                <w:szCs w:val="24"/>
              </w:rPr>
              <w:t>gūtniecības</w:t>
            </w:r>
            <w:proofErr w:type="spellEnd"/>
            <w:r w:rsidRPr="00984ED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pacientu grupa līdz 35 gadiem</w:t>
            </w:r>
          </w:p>
        </w:tc>
        <w:tc>
          <w:tcPr>
            <w:tcW w:w="3738" w:type="dxa"/>
          </w:tcPr>
          <w:p w14:paraId="5438215E" w14:textId="36B8D071" w:rsidR="00984EDC" w:rsidRDefault="002E75CA" w:rsidP="00B74401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Dati tiek iegūti no NVD pārziņā esošām informācijas sistēmām</w:t>
            </w:r>
          </w:p>
        </w:tc>
      </w:tr>
      <w:tr w:rsidR="00984EDC" w14:paraId="4E5577CF" w14:textId="77777777" w:rsidTr="00984EDC">
        <w:tc>
          <w:tcPr>
            <w:tcW w:w="810" w:type="dxa"/>
          </w:tcPr>
          <w:p w14:paraId="2703681F" w14:textId="77777777" w:rsidR="00984EDC" w:rsidRDefault="00B74401" w:rsidP="00984EDC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  <w:r w:rsidR="00984E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14:paraId="48BE3664" w14:textId="77777777" w:rsidR="00984EDC" w:rsidRPr="00E830E9" w:rsidRDefault="00984EDC" w:rsidP="00984EDC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 xml:space="preserve">Pacientu sūdzību procentuālais īpatsvars no kopējā pakalpojumu skaita </w:t>
            </w:r>
          </w:p>
        </w:tc>
        <w:tc>
          <w:tcPr>
            <w:tcW w:w="3738" w:type="dxa"/>
          </w:tcPr>
          <w:p w14:paraId="44397EF5" w14:textId="77777777" w:rsidR="00984EDC" w:rsidRPr="00E830E9" w:rsidRDefault="002E75CA" w:rsidP="00984EDC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pacientu sūdzību skaits par 1.3-1.5</w:t>
            </w:r>
            <w:r w:rsidR="00984EDC" w:rsidRPr="00E830E9">
              <w:rPr>
                <w:rFonts w:ascii="Times New Roman" w:eastAsiaTheme="minorEastAsia" w:hAnsi="Times New Roman"/>
                <w:sz w:val="24"/>
                <w:szCs w:val="24"/>
              </w:rPr>
              <w:t>.punktā minētajiem pakalpojumiem/</w:t>
            </w:r>
          </w:p>
          <w:p w14:paraId="6CC854AB" w14:textId="77777777" w:rsidR="00984EDC" w:rsidRPr="00E830E9" w:rsidRDefault="002E75CA" w:rsidP="00984EDC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kopējais 1.3</w:t>
            </w:r>
            <w:r w:rsidR="00984EDC" w:rsidRPr="00E830E9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-1.5.</w:t>
            </w:r>
            <w:r w:rsidR="00984EDC" w:rsidRPr="00E830E9">
              <w:rPr>
                <w:rFonts w:ascii="Times New Roman" w:eastAsiaTheme="minorEastAsia" w:hAnsi="Times New Roman"/>
                <w:sz w:val="24"/>
                <w:szCs w:val="24"/>
              </w:rPr>
              <w:t xml:space="preserve">punktā minēto </w:t>
            </w:r>
            <w:r w:rsidR="00984EDC">
              <w:rPr>
                <w:rFonts w:ascii="Times New Roman" w:eastAsiaTheme="minorEastAsia" w:hAnsi="Times New Roman"/>
                <w:sz w:val="24"/>
                <w:szCs w:val="24"/>
              </w:rPr>
              <w:t>procedūru</w:t>
            </w:r>
            <w:r w:rsidR="00984EDC" w:rsidRPr="00E830E9">
              <w:rPr>
                <w:rFonts w:ascii="Times New Roman" w:eastAsiaTheme="minorEastAsia" w:hAnsi="Times New Roman"/>
                <w:sz w:val="24"/>
                <w:szCs w:val="24"/>
              </w:rPr>
              <w:t xml:space="preserve"> skaits iestādē</w:t>
            </w:r>
          </w:p>
          <w:p w14:paraId="5C6511E4" w14:textId="77777777" w:rsidR="00984EDC" w:rsidRPr="00E830E9" w:rsidRDefault="00984EDC" w:rsidP="00984EDC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30E9">
              <w:rPr>
                <w:rFonts w:ascii="Times New Roman" w:eastAsiaTheme="minorEastAsia" w:hAnsi="Times New Roman"/>
                <w:sz w:val="24"/>
                <w:szCs w:val="24"/>
              </w:rPr>
              <w:t>izteikts%</w:t>
            </w:r>
          </w:p>
          <w:p w14:paraId="2C6C35B7" w14:textId="77777777" w:rsidR="00984EDC" w:rsidRPr="00E830E9" w:rsidRDefault="00984EDC" w:rsidP="00984EDC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E2213B" w14:textId="77777777" w:rsidR="004701B5" w:rsidRDefault="004701B5" w:rsidP="009D38F7">
      <w:p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572163A" w14:textId="5FAF162D" w:rsidR="009D38F7" w:rsidRPr="00F332EA" w:rsidRDefault="009D38F7" w:rsidP="00590C69">
      <w:pPr>
        <w:pStyle w:val="ListParagraph"/>
        <w:numPr>
          <w:ilvl w:val="1"/>
          <w:numId w:val="12"/>
        </w:numPr>
        <w:spacing w:after="100" w:line="240" w:lineRule="auto"/>
        <w:ind w:left="499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32EA">
        <w:rPr>
          <w:rFonts w:ascii="Times New Roman" w:hAnsi="Times New Roman"/>
          <w:sz w:val="24"/>
          <w:szCs w:val="24"/>
        </w:rPr>
        <w:t>NVD ir tiesīgs pārskatīt līguma nosacījumus vai pārtraukt līgumu par pakalpojumu sniegšanu, ja 4.</w:t>
      </w:r>
      <w:r w:rsidR="00F332EA" w:rsidRPr="00F332EA">
        <w:rPr>
          <w:rFonts w:ascii="Times New Roman" w:hAnsi="Times New Roman"/>
          <w:sz w:val="24"/>
          <w:szCs w:val="24"/>
        </w:rPr>
        <w:t>4</w:t>
      </w:r>
      <w:r w:rsidRPr="00F332EA">
        <w:rPr>
          <w:rFonts w:ascii="Times New Roman" w:hAnsi="Times New Roman"/>
          <w:sz w:val="24"/>
          <w:szCs w:val="24"/>
        </w:rPr>
        <w:t>.</w:t>
      </w:r>
      <w:r w:rsidR="00F332EA" w:rsidRPr="00F332EA">
        <w:rPr>
          <w:rFonts w:ascii="Times New Roman" w:hAnsi="Times New Roman"/>
          <w:sz w:val="24"/>
          <w:szCs w:val="24"/>
        </w:rPr>
        <w:t>4</w:t>
      </w:r>
      <w:r w:rsidRPr="00F332EA">
        <w:rPr>
          <w:rFonts w:ascii="Times New Roman" w:hAnsi="Times New Roman"/>
          <w:sz w:val="24"/>
          <w:szCs w:val="24"/>
        </w:rPr>
        <w:t>.punktā noteiktais vērtēšanas kritērijs ir nepieņemamā līmenī</w:t>
      </w:r>
      <w:r w:rsidR="00F332EA" w:rsidRPr="00F332EA">
        <w:rPr>
          <w:rFonts w:ascii="Times New Roman" w:hAnsi="Times New Roman"/>
          <w:sz w:val="24"/>
          <w:szCs w:val="24"/>
        </w:rPr>
        <w:t xml:space="preserve">, ievērojot šādas </w:t>
      </w:r>
      <w:r w:rsidR="00F332EA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F332EA">
        <w:rPr>
          <w:rFonts w:ascii="Times New Roman" w:eastAsia="Times New Roman" w:hAnsi="Times New Roman"/>
          <w:sz w:val="24"/>
          <w:szCs w:val="24"/>
          <w:lang w:eastAsia="lv-LV"/>
        </w:rPr>
        <w:t>ritēriju robežvērtības:</w:t>
      </w:r>
    </w:p>
    <w:tbl>
      <w:tblPr>
        <w:tblStyle w:val="TableGrid1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332EA" w:rsidRPr="00E830E9" w14:paraId="6FF27F47" w14:textId="77777777" w:rsidTr="00F332EA">
        <w:trPr>
          <w:jc w:val="center"/>
        </w:trPr>
        <w:tc>
          <w:tcPr>
            <w:tcW w:w="1701" w:type="dxa"/>
            <w:vMerge w:val="restart"/>
            <w:shd w:val="clear" w:color="auto" w:fill="E7E6E6" w:themeFill="background2"/>
          </w:tcPr>
          <w:p w14:paraId="64CBA142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Kritērija nosaukums</w:t>
            </w:r>
          </w:p>
        </w:tc>
        <w:tc>
          <w:tcPr>
            <w:tcW w:w="7654" w:type="dxa"/>
            <w:gridSpan w:val="9"/>
            <w:shd w:val="clear" w:color="auto" w:fill="E7E6E6" w:themeFill="background2"/>
          </w:tcPr>
          <w:p w14:paraId="72F65A48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Mērķa rādītāji</w:t>
            </w:r>
          </w:p>
        </w:tc>
      </w:tr>
      <w:tr w:rsidR="00F332EA" w:rsidRPr="00E830E9" w14:paraId="0ED6D679" w14:textId="77777777" w:rsidTr="00F332EA">
        <w:trPr>
          <w:jc w:val="center"/>
        </w:trPr>
        <w:tc>
          <w:tcPr>
            <w:tcW w:w="1701" w:type="dxa"/>
            <w:vMerge/>
            <w:shd w:val="clear" w:color="auto" w:fill="E7E6E6" w:themeFill="background2"/>
          </w:tcPr>
          <w:p w14:paraId="4509C233" w14:textId="77777777" w:rsidR="00F332EA" w:rsidRPr="00E830E9" w:rsidRDefault="00F332EA" w:rsidP="000723AB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shd w:val="clear" w:color="auto" w:fill="FFCCCC"/>
          </w:tcPr>
          <w:p w14:paraId="226BFEAA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Nepieņemams</w:t>
            </w:r>
          </w:p>
        </w:tc>
        <w:tc>
          <w:tcPr>
            <w:tcW w:w="2552" w:type="dxa"/>
            <w:gridSpan w:val="3"/>
            <w:shd w:val="clear" w:color="auto" w:fill="FFF2CC" w:themeFill="accent4" w:themeFillTint="33"/>
          </w:tcPr>
          <w:p w14:paraId="241574F5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Uzraugāms</w:t>
            </w:r>
          </w:p>
        </w:tc>
        <w:tc>
          <w:tcPr>
            <w:tcW w:w="2551" w:type="dxa"/>
            <w:gridSpan w:val="3"/>
            <w:shd w:val="clear" w:color="auto" w:fill="E2EFD9" w:themeFill="accent6" w:themeFillTint="33"/>
          </w:tcPr>
          <w:p w14:paraId="6634B37E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Pieņemams</w:t>
            </w:r>
          </w:p>
        </w:tc>
      </w:tr>
      <w:tr w:rsidR="00F332EA" w:rsidRPr="00E830E9" w14:paraId="7619B140" w14:textId="77777777" w:rsidTr="00F332EA">
        <w:trPr>
          <w:trHeight w:val="409"/>
          <w:jc w:val="center"/>
        </w:trPr>
        <w:tc>
          <w:tcPr>
            <w:tcW w:w="1701" w:type="dxa"/>
            <w:vMerge/>
            <w:shd w:val="clear" w:color="auto" w:fill="E7E6E6" w:themeFill="background2"/>
          </w:tcPr>
          <w:p w14:paraId="62EE906F" w14:textId="77777777" w:rsidR="00F332EA" w:rsidRPr="00E830E9" w:rsidRDefault="00F332EA" w:rsidP="000723AB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27E02B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2018.</w:t>
            </w:r>
          </w:p>
        </w:tc>
        <w:tc>
          <w:tcPr>
            <w:tcW w:w="851" w:type="dxa"/>
            <w:shd w:val="clear" w:color="auto" w:fill="FFFFFF" w:themeFill="background1"/>
          </w:tcPr>
          <w:p w14:paraId="15CFB667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2019.</w:t>
            </w:r>
          </w:p>
        </w:tc>
        <w:tc>
          <w:tcPr>
            <w:tcW w:w="850" w:type="dxa"/>
            <w:shd w:val="clear" w:color="auto" w:fill="FFFFFF" w:themeFill="background1"/>
          </w:tcPr>
          <w:p w14:paraId="5C954CBB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2020.</w:t>
            </w:r>
          </w:p>
        </w:tc>
        <w:tc>
          <w:tcPr>
            <w:tcW w:w="851" w:type="dxa"/>
            <w:shd w:val="clear" w:color="auto" w:fill="FFFFFF" w:themeFill="background1"/>
          </w:tcPr>
          <w:p w14:paraId="66AD8E6D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2018.</w:t>
            </w:r>
          </w:p>
        </w:tc>
        <w:tc>
          <w:tcPr>
            <w:tcW w:w="850" w:type="dxa"/>
            <w:shd w:val="clear" w:color="auto" w:fill="FFFFFF" w:themeFill="background1"/>
          </w:tcPr>
          <w:p w14:paraId="2B3DEC67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2019.</w:t>
            </w:r>
          </w:p>
        </w:tc>
        <w:tc>
          <w:tcPr>
            <w:tcW w:w="851" w:type="dxa"/>
            <w:shd w:val="clear" w:color="auto" w:fill="FFFFFF" w:themeFill="background1"/>
          </w:tcPr>
          <w:p w14:paraId="01A2E81D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2020.</w:t>
            </w:r>
          </w:p>
        </w:tc>
        <w:tc>
          <w:tcPr>
            <w:tcW w:w="850" w:type="dxa"/>
            <w:shd w:val="clear" w:color="auto" w:fill="FFFFFF" w:themeFill="background1"/>
          </w:tcPr>
          <w:p w14:paraId="61AF58F4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2018.</w:t>
            </w:r>
          </w:p>
        </w:tc>
        <w:tc>
          <w:tcPr>
            <w:tcW w:w="851" w:type="dxa"/>
            <w:shd w:val="clear" w:color="auto" w:fill="FFFFFF" w:themeFill="background1"/>
          </w:tcPr>
          <w:p w14:paraId="1EF4803B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2019.</w:t>
            </w:r>
          </w:p>
        </w:tc>
        <w:tc>
          <w:tcPr>
            <w:tcW w:w="850" w:type="dxa"/>
            <w:shd w:val="clear" w:color="auto" w:fill="FFFFFF" w:themeFill="background1"/>
          </w:tcPr>
          <w:p w14:paraId="24E8127B" w14:textId="77777777" w:rsidR="00F332EA" w:rsidRPr="00E830E9" w:rsidRDefault="00F332EA" w:rsidP="000723AB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2020.</w:t>
            </w:r>
          </w:p>
        </w:tc>
      </w:tr>
      <w:tr w:rsidR="00F332EA" w:rsidRPr="00E830E9" w14:paraId="61E20335" w14:textId="77777777" w:rsidTr="00F332EA">
        <w:trPr>
          <w:jc w:val="center"/>
        </w:trPr>
        <w:tc>
          <w:tcPr>
            <w:tcW w:w="1701" w:type="dxa"/>
          </w:tcPr>
          <w:p w14:paraId="52B1E9C5" w14:textId="77777777" w:rsidR="00F332EA" w:rsidRPr="00E830E9" w:rsidRDefault="00F332EA" w:rsidP="000723AB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Pacientu sūdzību procentuālais īpatsvars no kopējā pakalpojumu skaita</w:t>
            </w:r>
          </w:p>
        </w:tc>
        <w:tc>
          <w:tcPr>
            <w:tcW w:w="850" w:type="dxa"/>
          </w:tcPr>
          <w:p w14:paraId="0E621EC9" w14:textId="77777777" w:rsidR="00F332EA" w:rsidRPr="00E830E9" w:rsidRDefault="00F332EA" w:rsidP="000723AB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</w:tcPr>
          <w:p w14:paraId="6543ADEE" w14:textId="77777777" w:rsidR="00F332EA" w:rsidRPr="00E830E9" w:rsidRDefault="00F332EA" w:rsidP="000723AB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</w:tcPr>
          <w:p w14:paraId="7074640A" w14:textId="77777777" w:rsidR="00F332EA" w:rsidRPr="00E830E9" w:rsidRDefault="00F332EA" w:rsidP="000723AB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</w:tcPr>
          <w:p w14:paraId="3C2ED901" w14:textId="77777777" w:rsidR="00F332EA" w:rsidRPr="00E830E9" w:rsidRDefault="00F332EA" w:rsidP="000723AB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3%</w:t>
            </w:r>
          </w:p>
        </w:tc>
        <w:tc>
          <w:tcPr>
            <w:tcW w:w="850" w:type="dxa"/>
          </w:tcPr>
          <w:p w14:paraId="6C47E17D" w14:textId="77777777" w:rsidR="00F332EA" w:rsidRPr="00E830E9" w:rsidRDefault="00F332EA" w:rsidP="000723AB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3%</w:t>
            </w:r>
          </w:p>
        </w:tc>
        <w:tc>
          <w:tcPr>
            <w:tcW w:w="851" w:type="dxa"/>
          </w:tcPr>
          <w:p w14:paraId="1CA2685B" w14:textId="77777777" w:rsidR="00F332EA" w:rsidRPr="00E830E9" w:rsidRDefault="00F332EA" w:rsidP="000723AB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3%</w:t>
            </w:r>
          </w:p>
        </w:tc>
        <w:tc>
          <w:tcPr>
            <w:tcW w:w="850" w:type="dxa"/>
          </w:tcPr>
          <w:p w14:paraId="1D8A2CEC" w14:textId="77777777" w:rsidR="00F332EA" w:rsidRPr="00E830E9" w:rsidRDefault="00F332EA" w:rsidP="000723AB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1%</w:t>
            </w:r>
          </w:p>
        </w:tc>
        <w:tc>
          <w:tcPr>
            <w:tcW w:w="851" w:type="dxa"/>
          </w:tcPr>
          <w:p w14:paraId="58EA269C" w14:textId="77777777" w:rsidR="00F332EA" w:rsidRPr="00E830E9" w:rsidRDefault="00F332EA" w:rsidP="000723AB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1%</w:t>
            </w:r>
          </w:p>
        </w:tc>
        <w:tc>
          <w:tcPr>
            <w:tcW w:w="850" w:type="dxa"/>
          </w:tcPr>
          <w:p w14:paraId="29D81673" w14:textId="77777777" w:rsidR="00F332EA" w:rsidRPr="00E830E9" w:rsidRDefault="00F332EA" w:rsidP="000723AB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1%</w:t>
            </w:r>
          </w:p>
        </w:tc>
      </w:tr>
    </w:tbl>
    <w:p w14:paraId="6BDD906F" w14:textId="786B7B25" w:rsidR="00590C69" w:rsidRDefault="00590C69" w:rsidP="009D38F7">
      <w:p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86A453" w14:textId="77777777" w:rsidR="00590C69" w:rsidRPr="00590C69" w:rsidRDefault="00590C69" w:rsidP="00590C69">
      <w:pPr>
        <w:pStyle w:val="ListParagraph"/>
        <w:numPr>
          <w:ilvl w:val="1"/>
          <w:numId w:val="12"/>
        </w:numPr>
        <w:ind w:left="567"/>
        <w:rPr>
          <w:rFonts w:ascii="Times New Roman" w:eastAsia="Times New Roman" w:hAnsi="Times New Roman"/>
          <w:sz w:val="24"/>
          <w:szCs w:val="24"/>
          <w:lang w:eastAsia="lv-LV"/>
        </w:rPr>
      </w:pPr>
      <w:r w:rsidRPr="00590C69">
        <w:rPr>
          <w:rFonts w:ascii="Times New Roman" w:eastAsia="Times New Roman" w:hAnsi="Times New Roman"/>
          <w:sz w:val="24"/>
          <w:szCs w:val="24"/>
          <w:lang w:eastAsia="lv-LV"/>
        </w:rPr>
        <w:t xml:space="preserve"> NVD ir tiesīgs noteikt papildus kritērijus par to iepriekš rakstiski informējot ārstniecības iestādi. Papildus kritēriji netiks ņemti vērā atlases procesā, taču tiks izmantoti kā </w:t>
      </w:r>
      <w:proofErr w:type="spellStart"/>
      <w:r w:rsidRPr="00590C69">
        <w:rPr>
          <w:rFonts w:ascii="Times New Roman" w:eastAsia="Times New Roman" w:hAnsi="Times New Roman"/>
          <w:sz w:val="24"/>
          <w:szCs w:val="24"/>
          <w:lang w:eastAsia="lv-LV"/>
        </w:rPr>
        <w:t>monitorējamie</w:t>
      </w:r>
      <w:proofErr w:type="spellEnd"/>
      <w:r w:rsidRPr="00590C69">
        <w:rPr>
          <w:rFonts w:ascii="Times New Roman" w:eastAsia="Times New Roman" w:hAnsi="Times New Roman"/>
          <w:sz w:val="24"/>
          <w:szCs w:val="24"/>
          <w:lang w:eastAsia="lv-LV"/>
        </w:rPr>
        <w:t xml:space="preserve"> kritēriji.</w:t>
      </w:r>
    </w:p>
    <w:p w14:paraId="4E60309B" w14:textId="307A59B3" w:rsidR="00590C69" w:rsidRPr="00590C69" w:rsidRDefault="00590C69" w:rsidP="00590C69">
      <w:pPr>
        <w:pStyle w:val="ListParagraph"/>
        <w:spacing w:after="100" w:line="240" w:lineRule="auto"/>
        <w:ind w:left="862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7703DF" w14:textId="77777777" w:rsidR="00233481" w:rsidRPr="00E830E9" w:rsidRDefault="00233481" w:rsidP="00233481">
      <w:pPr>
        <w:pStyle w:val="ListParagraph"/>
        <w:spacing w:after="100" w:afterAutospacing="1"/>
        <w:ind w:left="1724"/>
        <w:rPr>
          <w:rFonts w:ascii="Times New Roman" w:hAnsi="Times New Roman"/>
          <w:sz w:val="24"/>
          <w:szCs w:val="24"/>
        </w:rPr>
      </w:pPr>
    </w:p>
    <w:p w14:paraId="1FDC7148" w14:textId="77777777" w:rsidR="00494183" w:rsidRPr="00494183" w:rsidRDefault="00494183" w:rsidP="00233481">
      <w:pPr>
        <w:pStyle w:val="ListParagraph"/>
        <w:ind w:left="1724"/>
        <w:jc w:val="both"/>
        <w:rPr>
          <w:rFonts w:ascii="Times New Roman" w:hAnsi="Times New Roman"/>
          <w:sz w:val="24"/>
          <w:szCs w:val="24"/>
        </w:rPr>
      </w:pPr>
    </w:p>
    <w:p w14:paraId="66F2A6F4" w14:textId="77777777" w:rsidR="00A5051B" w:rsidRDefault="00A5051B" w:rsidP="00A5051B">
      <w:pPr>
        <w:spacing w:after="100" w:afterAutospacing="1" w:line="240" w:lineRule="auto"/>
        <w:ind w:left="64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5FBC9A4" w14:textId="77777777" w:rsidR="00A5051B" w:rsidRPr="00E830E9" w:rsidRDefault="00A5051B" w:rsidP="00A5051B">
      <w:pPr>
        <w:spacing w:after="100" w:afterAutospacing="1" w:line="240" w:lineRule="auto"/>
        <w:ind w:left="64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7735ABE" w14:textId="77777777" w:rsidR="00A5051B" w:rsidRPr="00E830E9" w:rsidRDefault="00A5051B" w:rsidP="00A5051B">
      <w:pPr>
        <w:spacing w:after="100" w:afterAutospacing="1"/>
        <w:ind w:left="64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F6CED6A" w14:textId="77777777" w:rsidR="00A5051B" w:rsidRDefault="00A5051B" w:rsidP="00A5051B">
      <w:pPr>
        <w:pStyle w:val="ListParagraph"/>
        <w:spacing w:after="100" w:afterAutospacing="1"/>
        <w:ind w:left="644"/>
        <w:jc w:val="both"/>
      </w:pPr>
    </w:p>
    <w:sectPr w:rsidR="00A5051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DEC5F" w14:textId="77777777" w:rsidR="00E750C3" w:rsidRDefault="00E750C3" w:rsidP="0001654B">
      <w:pPr>
        <w:spacing w:after="0" w:line="240" w:lineRule="auto"/>
      </w:pPr>
      <w:r>
        <w:separator/>
      </w:r>
    </w:p>
  </w:endnote>
  <w:endnote w:type="continuationSeparator" w:id="0">
    <w:p w14:paraId="47786FCB" w14:textId="77777777" w:rsidR="00E750C3" w:rsidRDefault="00E750C3" w:rsidP="0001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8C79" w14:textId="7D85C00B" w:rsidR="00F2383D" w:rsidRDefault="00F2383D" w:rsidP="00F2383D">
    <w:pPr>
      <w:pStyle w:val="Footer"/>
      <w:ind w:left="360"/>
    </w:pPr>
    <w:r>
      <w:t xml:space="preserve">*Atbilstoši Ministru kabineta 2013.gada 22.oktobra noteikumu Nr.1176 “Cilvēka audu un šūnu izmantošanas kārtība” 32.punktam. </w:t>
    </w:r>
  </w:p>
  <w:p w14:paraId="0F4F5B9C" w14:textId="77777777" w:rsidR="00F2383D" w:rsidRDefault="00F23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5EB90" w14:textId="77777777" w:rsidR="00E750C3" w:rsidRDefault="00E750C3" w:rsidP="0001654B">
      <w:pPr>
        <w:spacing w:after="0" w:line="240" w:lineRule="auto"/>
      </w:pPr>
      <w:r>
        <w:separator/>
      </w:r>
    </w:p>
  </w:footnote>
  <w:footnote w:type="continuationSeparator" w:id="0">
    <w:p w14:paraId="33225166" w14:textId="77777777" w:rsidR="00E750C3" w:rsidRDefault="00E750C3" w:rsidP="00016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907"/>
    <w:multiLevelType w:val="multilevel"/>
    <w:tmpl w:val="422609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 w15:restartNumberingAfterBreak="0">
    <w:nsid w:val="132A6B1B"/>
    <w:multiLevelType w:val="hybridMultilevel"/>
    <w:tmpl w:val="7DF6E304"/>
    <w:lvl w:ilvl="0" w:tplc="70E6B32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440DD"/>
    <w:multiLevelType w:val="multilevel"/>
    <w:tmpl w:val="422609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234B3145"/>
    <w:multiLevelType w:val="multilevel"/>
    <w:tmpl w:val="BA54CA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37CA70E4"/>
    <w:multiLevelType w:val="multilevel"/>
    <w:tmpl w:val="97C6F4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 w15:restartNumberingAfterBreak="0">
    <w:nsid w:val="409421A6"/>
    <w:multiLevelType w:val="multilevel"/>
    <w:tmpl w:val="1FD45CD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07621B"/>
    <w:multiLevelType w:val="multilevel"/>
    <w:tmpl w:val="3BD00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2A44E1"/>
    <w:multiLevelType w:val="multilevel"/>
    <w:tmpl w:val="4E4400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8" w15:restartNumberingAfterBreak="0">
    <w:nsid w:val="5D3F125F"/>
    <w:multiLevelType w:val="multilevel"/>
    <w:tmpl w:val="226E42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9" w15:restartNumberingAfterBreak="0">
    <w:nsid w:val="639A67CE"/>
    <w:multiLevelType w:val="multilevel"/>
    <w:tmpl w:val="2C2AC4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0" w15:restartNumberingAfterBreak="0">
    <w:nsid w:val="6AD95B1D"/>
    <w:multiLevelType w:val="multilevel"/>
    <w:tmpl w:val="2C2AC4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4B"/>
    <w:rsid w:val="00002026"/>
    <w:rsid w:val="0001654B"/>
    <w:rsid w:val="00090535"/>
    <w:rsid w:val="000D2119"/>
    <w:rsid w:val="0011779A"/>
    <w:rsid w:val="00160690"/>
    <w:rsid w:val="001B183E"/>
    <w:rsid w:val="00233481"/>
    <w:rsid w:val="002B0B1B"/>
    <w:rsid w:val="002D46F5"/>
    <w:rsid w:val="002E75CA"/>
    <w:rsid w:val="00321073"/>
    <w:rsid w:val="00381E43"/>
    <w:rsid w:val="003A2D05"/>
    <w:rsid w:val="003D21E2"/>
    <w:rsid w:val="0042630E"/>
    <w:rsid w:val="004545E8"/>
    <w:rsid w:val="004701B5"/>
    <w:rsid w:val="00494183"/>
    <w:rsid w:val="00530F9B"/>
    <w:rsid w:val="00590C69"/>
    <w:rsid w:val="005D365E"/>
    <w:rsid w:val="00635EE5"/>
    <w:rsid w:val="00663FA6"/>
    <w:rsid w:val="00673F55"/>
    <w:rsid w:val="007155AF"/>
    <w:rsid w:val="00870BF9"/>
    <w:rsid w:val="00870C38"/>
    <w:rsid w:val="008F01E9"/>
    <w:rsid w:val="00917EAA"/>
    <w:rsid w:val="00984EDC"/>
    <w:rsid w:val="009D38F7"/>
    <w:rsid w:val="00A5051B"/>
    <w:rsid w:val="00AB535A"/>
    <w:rsid w:val="00B74401"/>
    <w:rsid w:val="00C12B1D"/>
    <w:rsid w:val="00D60F8F"/>
    <w:rsid w:val="00D75AE8"/>
    <w:rsid w:val="00E750C3"/>
    <w:rsid w:val="00EC06FB"/>
    <w:rsid w:val="00ED120C"/>
    <w:rsid w:val="00F2383D"/>
    <w:rsid w:val="00F332EA"/>
    <w:rsid w:val="00F62C17"/>
    <w:rsid w:val="00FA4E30"/>
    <w:rsid w:val="00FA67FC"/>
    <w:rsid w:val="00FB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D8DF06"/>
  <w15:chartTrackingRefBased/>
  <w15:docId w15:val="{A780B907-ED13-4B19-9706-D7AE3C7E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54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54B"/>
  </w:style>
  <w:style w:type="paragraph" w:styleId="Footer">
    <w:name w:val="footer"/>
    <w:basedOn w:val="Normal"/>
    <w:link w:val="FooterChar"/>
    <w:uiPriority w:val="99"/>
    <w:unhideWhenUsed/>
    <w:rsid w:val="00016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4B"/>
  </w:style>
  <w:style w:type="paragraph" w:styleId="ListParagraph">
    <w:name w:val="List Paragraph"/>
    <w:basedOn w:val="Normal"/>
    <w:uiPriority w:val="34"/>
    <w:qFormat/>
    <w:rsid w:val="00A5051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5051B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51B"/>
    <w:rPr>
      <w:sz w:val="20"/>
      <w:szCs w:val="20"/>
    </w:rPr>
  </w:style>
  <w:style w:type="table" w:styleId="TableGrid">
    <w:name w:val="Table Grid"/>
    <w:basedOn w:val="TableNormal"/>
    <w:uiPriority w:val="39"/>
    <w:rsid w:val="0098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5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5CA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5C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CA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D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91FF-6349-429F-A49E-5EAF7E17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3708</Words>
  <Characters>2114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Būmane</dc:creator>
  <cp:keywords/>
  <dc:description/>
  <cp:lastModifiedBy>Alda Reinika</cp:lastModifiedBy>
  <cp:revision>3</cp:revision>
  <cp:lastPrinted>2017-06-13T10:24:00Z</cp:lastPrinted>
  <dcterms:created xsi:type="dcterms:W3CDTF">2017-06-30T10:58:00Z</dcterms:created>
  <dcterms:modified xsi:type="dcterms:W3CDTF">2017-06-30T11:04:00Z</dcterms:modified>
</cp:coreProperties>
</file>