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D69B" w14:textId="77777777" w:rsidR="002F27F8" w:rsidRDefault="002F27F8" w:rsidP="00BC6032">
      <w:pPr>
        <w:rPr>
          <w:rFonts w:ascii="Times New Roman" w:hAnsi="Times New Roman" w:cs="Times New Roman"/>
          <w:b/>
          <w:sz w:val="24"/>
          <w:lang w:val="lv-LV"/>
        </w:rPr>
      </w:pPr>
    </w:p>
    <w:p w14:paraId="49053A39" w14:textId="2595F229" w:rsidR="00E7192B" w:rsidRPr="00FA4678" w:rsidRDefault="00EB31D7" w:rsidP="00E7192B">
      <w:pPr>
        <w:jc w:val="center"/>
        <w:rPr>
          <w:rFonts w:ascii="Times New Roman" w:hAnsi="Times New Roman" w:cs="Times New Roman"/>
          <w:b/>
          <w:sz w:val="24"/>
          <w:lang w:val="lv-LV"/>
        </w:rPr>
      </w:pPr>
      <w:r w:rsidRPr="00FA4678">
        <w:rPr>
          <w:rFonts w:ascii="Times New Roman" w:hAnsi="Times New Roman" w:cs="Times New Roman"/>
          <w:b/>
          <w:sz w:val="24"/>
          <w:lang w:val="lv-LV"/>
        </w:rPr>
        <w:t>Ārstniecības iestādes kompensācijas maksājuma gatavības režīma nodrošināšanai aprēķina metodika un apmaksas kārtība</w:t>
      </w:r>
    </w:p>
    <w:p w14:paraId="6897690F" w14:textId="77777777" w:rsidR="00E7192B" w:rsidRPr="00FA4678" w:rsidRDefault="00E7192B" w:rsidP="00E7192B">
      <w:pPr>
        <w:rPr>
          <w:rFonts w:ascii="Times New Roman" w:hAnsi="Times New Roman" w:cs="Times New Roman"/>
          <w:sz w:val="24"/>
          <w:lang w:val="lv-LV"/>
        </w:rPr>
      </w:pPr>
    </w:p>
    <w:p w14:paraId="13A641D0" w14:textId="353B15B3" w:rsidR="00E7192B" w:rsidRDefault="008B6D7A" w:rsidP="008B6D7A">
      <w:pPr>
        <w:pStyle w:val="ListParagraph"/>
        <w:numPr>
          <w:ilvl w:val="0"/>
          <w:numId w:val="8"/>
        </w:numPr>
        <w:jc w:val="both"/>
        <w:rPr>
          <w:rFonts w:ascii="Times New Roman" w:hAnsi="Times New Roman" w:cs="Times New Roman"/>
          <w:sz w:val="24"/>
          <w:lang w:val="lv-LV"/>
        </w:rPr>
      </w:pPr>
      <w:r w:rsidRPr="00FA4678">
        <w:rPr>
          <w:rFonts w:ascii="Times New Roman" w:hAnsi="Times New Roman" w:cs="Times New Roman"/>
          <w:sz w:val="24"/>
          <w:lang w:val="lv-LV"/>
        </w:rPr>
        <w:t>D</w:t>
      </w:r>
      <w:r w:rsidR="00482A1A" w:rsidRPr="00FA4678">
        <w:rPr>
          <w:rFonts w:ascii="Times New Roman" w:hAnsi="Times New Roman" w:cs="Times New Roman"/>
          <w:sz w:val="24"/>
          <w:lang w:val="lv-LV"/>
        </w:rPr>
        <w:t>IENESTS</w:t>
      </w:r>
      <w:r w:rsidRPr="00FA4678">
        <w:rPr>
          <w:rFonts w:ascii="Times New Roman" w:hAnsi="Times New Roman" w:cs="Times New Roman"/>
          <w:sz w:val="24"/>
          <w:lang w:val="lv-LV"/>
        </w:rPr>
        <w:t xml:space="preserve"> par </w:t>
      </w:r>
      <w:r w:rsidR="00EB31D7" w:rsidRPr="00FA4678">
        <w:rPr>
          <w:rFonts w:ascii="Times New Roman" w:hAnsi="Times New Roman" w:cs="Times New Roman"/>
          <w:sz w:val="24"/>
          <w:lang w:val="lv-LV"/>
        </w:rPr>
        <w:t xml:space="preserve">ārstniecības personu pieejamības, ārstniecības iestāžu darbības un valsts apmaksāto veselības aprūpes pakalpojumu pieejamības </w:t>
      </w:r>
      <w:r w:rsidR="00E7192B" w:rsidRPr="00FA4678">
        <w:rPr>
          <w:rFonts w:ascii="Times New Roman" w:hAnsi="Times New Roman" w:cs="Times New Roman"/>
          <w:sz w:val="24"/>
          <w:lang w:val="lv-LV"/>
        </w:rPr>
        <w:t>saglabāšan</w:t>
      </w:r>
      <w:r w:rsidRPr="00FA4678">
        <w:rPr>
          <w:rFonts w:ascii="Times New Roman" w:hAnsi="Times New Roman" w:cs="Times New Roman"/>
          <w:sz w:val="24"/>
          <w:lang w:val="lv-LV"/>
        </w:rPr>
        <w:t>u</w:t>
      </w:r>
      <w:r w:rsidR="00E7192B" w:rsidRPr="00FA4678">
        <w:rPr>
          <w:rFonts w:ascii="Times New Roman" w:hAnsi="Times New Roman" w:cs="Times New Roman"/>
          <w:sz w:val="24"/>
          <w:lang w:val="lv-LV"/>
        </w:rPr>
        <w:t xml:space="preserve"> un </w:t>
      </w:r>
      <w:r w:rsidR="00E7192B" w:rsidRPr="001543D8">
        <w:rPr>
          <w:rFonts w:ascii="Times New Roman" w:hAnsi="Times New Roman" w:cs="Times New Roman"/>
          <w:sz w:val="24"/>
          <w:lang w:val="lv-LV"/>
        </w:rPr>
        <w:t>nodrošināšan</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ārkārtas situācij</w:t>
      </w:r>
      <w:r w:rsidR="00571CE2">
        <w:rPr>
          <w:rFonts w:ascii="Times New Roman" w:hAnsi="Times New Roman" w:cs="Times New Roman"/>
          <w:sz w:val="24"/>
          <w:lang w:val="lv-LV"/>
        </w:rPr>
        <w:t>ā</w:t>
      </w:r>
      <w:r w:rsidR="00EB31D7" w:rsidRPr="001543D8">
        <w:rPr>
          <w:rFonts w:ascii="Times New Roman" w:hAnsi="Times New Roman" w:cs="Times New Roman"/>
          <w:sz w:val="24"/>
          <w:lang w:val="lv-LV"/>
        </w:rPr>
        <w:t xml:space="preserve"> (gatavības režīma nodrošināšana)</w:t>
      </w:r>
      <w:r w:rsidRPr="001543D8">
        <w:rPr>
          <w:rFonts w:ascii="Times New Roman" w:hAnsi="Times New Roman" w:cs="Times New Roman"/>
          <w:sz w:val="24"/>
          <w:lang w:val="lv-LV"/>
        </w:rPr>
        <w:t xml:space="preserve"> </w:t>
      </w:r>
      <w:r w:rsidR="00F35485">
        <w:rPr>
          <w:rFonts w:ascii="Times New Roman" w:hAnsi="Times New Roman" w:cs="Times New Roman"/>
          <w:sz w:val="24"/>
          <w:lang w:val="lv-LV"/>
        </w:rPr>
        <w:t xml:space="preserve">2021. un 2022.gadā </w:t>
      </w:r>
      <w:r w:rsidRPr="001543D8">
        <w:rPr>
          <w:rFonts w:ascii="Times New Roman" w:hAnsi="Times New Roman" w:cs="Times New Roman"/>
          <w:sz w:val="24"/>
          <w:lang w:val="lv-LV"/>
        </w:rPr>
        <w:t>I</w:t>
      </w:r>
      <w:r w:rsidR="00482A1A" w:rsidRPr="001543D8">
        <w:rPr>
          <w:rFonts w:ascii="Times New Roman" w:hAnsi="Times New Roman" w:cs="Times New Roman"/>
          <w:sz w:val="24"/>
          <w:lang w:val="lv-LV"/>
        </w:rPr>
        <w:t>ZPILDĪTĀJAM</w:t>
      </w:r>
      <w:r w:rsidRPr="001543D8">
        <w:rPr>
          <w:rFonts w:ascii="Times New Roman" w:hAnsi="Times New Roman" w:cs="Times New Roman"/>
          <w:sz w:val="24"/>
          <w:lang w:val="lv-LV"/>
        </w:rPr>
        <w:t xml:space="preserve"> maksā kompensācijas maksājumu</w:t>
      </w:r>
      <w:r w:rsidR="00E7192B" w:rsidRPr="001543D8">
        <w:rPr>
          <w:rFonts w:ascii="Times New Roman" w:hAnsi="Times New Roman" w:cs="Times New Roman"/>
          <w:sz w:val="24"/>
          <w:lang w:val="lv-LV"/>
        </w:rPr>
        <w:t xml:space="preserve"> </w:t>
      </w:r>
      <w:r w:rsidR="00791DEE">
        <w:rPr>
          <w:rFonts w:ascii="Times New Roman" w:hAnsi="Times New Roman" w:cs="Times New Roman"/>
          <w:sz w:val="24"/>
          <w:lang w:val="lv-LV"/>
        </w:rPr>
        <w:t xml:space="preserve">                                      </w:t>
      </w:r>
      <w:r w:rsidR="00E7192B" w:rsidRPr="001543D8">
        <w:rPr>
          <w:rFonts w:ascii="Times New Roman" w:hAnsi="Times New Roman" w:cs="Times New Roman"/>
          <w:sz w:val="24"/>
          <w:lang w:val="lv-LV"/>
        </w:rPr>
        <w:t>(turpmāk</w:t>
      </w:r>
      <w:r w:rsidR="00707614" w:rsidRPr="001543D8">
        <w:rPr>
          <w:rFonts w:ascii="Times New Roman" w:hAnsi="Times New Roman" w:cs="Times New Roman"/>
          <w:sz w:val="24"/>
          <w:lang w:val="lv-LV"/>
        </w:rPr>
        <w:t xml:space="preserve"> </w:t>
      </w:r>
      <w:r w:rsidR="00E7192B" w:rsidRPr="001543D8">
        <w:rPr>
          <w:rFonts w:ascii="Times New Roman" w:hAnsi="Times New Roman" w:cs="Times New Roman"/>
          <w:sz w:val="24"/>
          <w:lang w:val="lv-LV"/>
        </w:rPr>
        <w:t>- kompensācijas maksājums).</w:t>
      </w:r>
      <w:r w:rsidR="001466A6">
        <w:rPr>
          <w:rFonts w:ascii="Times New Roman" w:hAnsi="Times New Roman" w:cs="Times New Roman"/>
          <w:sz w:val="24"/>
          <w:lang w:val="lv-LV"/>
        </w:rPr>
        <w:t xml:space="preserve"> </w:t>
      </w:r>
    </w:p>
    <w:p w14:paraId="5B2364BD" w14:textId="77777777" w:rsidR="006F76C0" w:rsidRPr="001543D8" w:rsidRDefault="006F76C0" w:rsidP="006F76C0">
      <w:pPr>
        <w:pStyle w:val="ListParagraph"/>
        <w:jc w:val="both"/>
        <w:rPr>
          <w:rFonts w:ascii="Times New Roman" w:hAnsi="Times New Roman" w:cs="Times New Roman"/>
          <w:sz w:val="24"/>
          <w:lang w:val="lv-LV"/>
        </w:rPr>
      </w:pPr>
    </w:p>
    <w:p w14:paraId="6F009A0E" w14:textId="46FBA8FD" w:rsidR="001153B0" w:rsidRDefault="001153B0" w:rsidP="001153B0">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 xml:space="preserve">Kompensācijas maksājums tiek noteikts atbilstoši </w:t>
      </w:r>
      <w:r w:rsidR="00571CE2">
        <w:rPr>
          <w:rFonts w:ascii="Times New Roman" w:hAnsi="Times New Roman" w:cs="Times New Roman"/>
          <w:sz w:val="24"/>
          <w:lang w:val="lv-LV"/>
        </w:rPr>
        <w:t>Ministru kabineta 2018.gada  28.augusta noteikum</w:t>
      </w:r>
      <w:r w:rsidR="00F35485">
        <w:rPr>
          <w:rFonts w:ascii="Times New Roman" w:hAnsi="Times New Roman" w:cs="Times New Roman"/>
          <w:sz w:val="24"/>
          <w:lang w:val="lv-LV"/>
        </w:rPr>
        <w:t>u</w:t>
      </w:r>
      <w:r w:rsidR="00571CE2">
        <w:rPr>
          <w:rFonts w:ascii="Times New Roman" w:hAnsi="Times New Roman" w:cs="Times New Roman"/>
          <w:sz w:val="24"/>
          <w:lang w:val="lv-LV"/>
        </w:rPr>
        <w:t xml:space="preserve"> Nr.555 “</w:t>
      </w:r>
      <w:r w:rsidR="00571CE2" w:rsidRPr="00571CE2">
        <w:rPr>
          <w:rFonts w:ascii="Times New Roman" w:hAnsi="Times New Roman" w:cs="Times New Roman"/>
          <w:sz w:val="24"/>
          <w:lang w:val="lv-LV"/>
        </w:rPr>
        <w:t>Veselības aprūpes pakalpojumu organizēšanas un samaksas kārtība</w:t>
      </w:r>
      <w:r w:rsidR="00571CE2">
        <w:rPr>
          <w:rFonts w:ascii="Times New Roman" w:hAnsi="Times New Roman" w:cs="Times New Roman"/>
          <w:sz w:val="24"/>
          <w:lang w:val="lv-LV"/>
        </w:rPr>
        <w:t>”</w:t>
      </w:r>
      <w:r w:rsidR="00F35485">
        <w:rPr>
          <w:rFonts w:ascii="Times New Roman" w:hAnsi="Times New Roman" w:cs="Times New Roman"/>
          <w:sz w:val="24"/>
          <w:lang w:val="lv-LV"/>
        </w:rPr>
        <w:t xml:space="preserve"> nosacījumiem</w:t>
      </w:r>
      <w:r w:rsidR="00571CE2">
        <w:rPr>
          <w:rFonts w:ascii="Times New Roman" w:hAnsi="Times New Roman" w:cs="Times New Roman"/>
          <w:sz w:val="24"/>
          <w:lang w:val="lv-LV"/>
        </w:rPr>
        <w:t xml:space="preserve">, ņemot vērā </w:t>
      </w:r>
      <w:r w:rsidR="00F35485">
        <w:rPr>
          <w:rFonts w:ascii="Times New Roman" w:hAnsi="Times New Roman" w:cs="Times New Roman"/>
          <w:sz w:val="24"/>
          <w:lang w:val="lv-LV"/>
        </w:rPr>
        <w:t xml:space="preserve">2020.gada </w:t>
      </w:r>
      <w:r w:rsidR="00F35485" w:rsidRPr="00F35485">
        <w:rPr>
          <w:rFonts w:ascii="Times New Roman" w:hAnsi="Times New Roman" w:cs="Times New Roman"/>
          <w:sz w:val="24"/>
          <w:lang w:val="lv-LV"/>
        </w:rPr>
        <w:t>6. novembr</w:t>
      </w:r>
      <w:r w:rsidR="00F35485">
        <w:rPr>
          <w:rFonts w:ascii="Times New Roman" w:hAnsi="Times New Roman" w:cs="Times New Roman"/>
          <w:sz w:val="24"/>
          <w:lang w:val="lv-LV"/>
        </w:rPr>
        <w:t xml:space="preserve">a Ministru kabineta rīkojumā Nr.655 un </w:t>
      </w:r>
      <w:r w:rsidR="00355828">
        <w:rPr>
          <w:rFonts w:ascii="Times New Roman" w:hAnsi="Times New Roman" w:cs="Times New Roman"/>
          <w:sz w:val="24"/>
          <w:lang w:val="lv-LV"/>
        </w:rPr>
        <w:t>2021. gada 9. oktobra</w:t>
      </w:r>
      <w:r w:rsidRPr="001543D8">
        <w:rPr>
          <w:rFonts w:ascii="Times New Roman" w:hAnsi="Times New Roman" w:cs="Times New Roman"/>
          <w:sz w:val="24"/>
          <w:lang w:val="lv-LV"/>
        </w:rPr>
        <w:t xml:space="preserve"> Ministru kabineta rīkojum</w:t>
      </w:r>
      <w:r w:rsidR="00F35485">
        <w:rPr>
          <w:rFonts w:ascii="Times New Roman" w:hAnsi="Times New Roman" w:cs="Times New Roman"/>
          <w:sz w:val="24"/>
          <w:lang w:val="lv-LV"/>
        </w:rPr>
        <w:t>ā</w:t>
      </w:r>
      <w:r w:rsidRPr="001543D8">
        <w:rPr>
          <w:rFonts w:ascii="Times New Roman" w:hAnsi="Times New Roman" w:cs="Times New Roman"/>
          <w:sz w:val="24"/>
          <w:lang w:val="lv-LV"/>
        </w:rPr>
        <w:t xml:space="preserve">  </w:t>
      </w:r>
      <w:r w:rsidR="001466A6">
        <w:rPr>
          <w:rFonts w:ascii="Times New Roman" w:hAnsi="Times New Roman" w:cs="Times New Roman"/>
          <w:sz w:val="24"/>
          <w:lang w:val="lv-LV"/>
        </w:rPr>
        <w:t xml:space="preserve">            </w:t>
      </w:r>
      <w:r w:rsidRPr="001543D8">
        <w:rPr>
          <w:rFonts w:ascii="Times New Roman" w:hAnsi="Times New Roman" w:cs="Times New Roman"/>
          <w:sz w:val="24"/>
          <w:lang w:val="lv-LV"/>
        </w:rPr>
        <w:t xml:space="preserve">Nr. </w:t>
      </w:r>
      <w:r w:rsidR="00355828">
        <w:rPr>
          <w:rFonts w:ascii="Times New Roman" w:hAnsi="Times New Roman" w:cs="Times New Roman"/>
          <w:sz w:val="24"/>
          <w:lang w:val="lv-LV"/>
        </w:rPr>
        <w:t>720</w:t>
      </w:r>
      <w:r w:rsidRPr="001543D8">
        <w:rPr>
          <w:rFonts w:ascii="Times New Roman" w:hAnsi="Times New Roman" w:cs="Times New Roman"/>
          <w:sz w:val="24"/>
          <w:lang w:val="lv-LV"/>
        </w:rPr>
        <w:t xml:space="preserve"> “</w:t>
      </w:r>
      <w:r w:rsidR="00571CE2">
        <w:rPr>
          <w:rFonts w:ascii="Times New Roman" w:hAnsi="Times New Roman" w:cs="Times New Roman"/>
          <w:sz w:val="24"/>
          <w:lang w:val="lv-LV"/>
        </w:rPr>
        <w:t>c</w:t>
      </w:r>
      <w:r w:rsidRPr="001543D8">
        <w:rPr>
          <w:rFonts w:ascii="Times New Roman" w:hAnsi="Times New Roman" w:cs="Times New Roman"/>
          <w:sz w:val="24"/>
          <w:lang w:val="lv-LV"/>
        </w:rPr>
        <w:t xml:space="preserve">” </w:t>
      </w:r>
      <w:r w:rsidR="00571CE2">
        <w:rPr>
          <w:rFonts w:ascii="Times New Roman" w:hAnsi="Times New Roman" w:cs="Times New Roman"/>
          <w:sz w:val="24"/>
          <w:lang w:val="lv-LV"/>
        </w:rPr>
        <w:t>noteikto</w:t>
      </w:r>
      <w:r w:rsidR="00F35485">
        <w:rPr>
          <w:rFonts w:ascii="Times New Roman" w:hAnsi="Times New Roman" w:cs="Times New Roman"/>
          <w:sz w:val="24"/>
          <w:lang w:val="lv-LV"/>
        </w:rPr>
        <w:t xml:space="preserve"> periodu, kad noteikta ārkārtas situācija</w:t>
      </w:r>
      <w:r w:rsidR="00355828">
        <w:rPr>
          <w:rFonts w:ascii="Times New Roman" w:hAnsi="Times New Roman" w:cs="Times New Roman"/>
          <w:sz w:val="24"/>
          <w:lang w:val="lv-LV"/>
        </w:rPr>
        <w:t>.</w:t>
      </w:r>
    </w:p>
    <w:p w14:paraId="15930213" w14:textId="77777777" w:rsidR="006F76C0" w:rsidRPr="006F76C0" w:rsidRDefault="006F76C0" w:rsidP="006F76C0">
      <w:pPr>
        <w:pStyle w:val="ListParagraph"/>
        <w:rPr>
          <w:rFonts w:ascii="Times New Roman" w:hAnsi="Times New Roman" w:cs="Times New Roman"/>
          <w:sz w:val="24"/>
          <w:lang w:val="lv-LV"/>
        </w:rPr>
      </w:pPr>
    </w:p>
    <w:p w14:paraId="62EA3B80" w14:textId="77777777" w:rsidR="00355828" w:rsidRDefault="00442D98" w:rsidP="00442D98">
      <w:pPr>
        <w:pStyle w:val="ListParagraph"/>
        <w:numPr>
          <w:ilvl w:val="0"/>
          <w:numId w:val="8"/>
        </w:numPr>
        <w:jc w:val="both"/>
        <w:rPr>
          <w:rFonts w:ascii="Times New Roman" w:hAnsi="Times New Roman" w:cs="Times New Roman"/>
          <w:sz w:val="24"/>
          <w:lang w:val="lv-LV"/>
        </w:rPr>
      </w:pPr>
      <w:r w:rsidRPr="00442D98">
        <w:rPr>
          <w:rFonts w:ascii="Times New Roman" w:hAnsi="Times New Roman" w:cs="Times New Roman"/>
          <w:sz w:val="24"/>
          <w:lang w:val="lv-LV"/>
        </w:rPr>
        <w:t>Kompensācijas maksājums tiek izmaksāts 1 reizi ceturksnī,</w:t>
      </w:r>
      <w:r>
        <w:rPr>
          <w:rFonts w:ascii="Times New Roman" w:hAnsi="Times New Roman" w:cs="Times New Roman"/>
          <w:sz w:val="24"/>
          <w:lang w:val="lv-LV"/>
        </w:rPr>
        <w:t xml:space="preserve"> </w:t>
      </w:r>
      <w:r w:rsidRPr="00E07D50">
        <w:rPr>
          <w:rFonts w:ascii="Times New Roman" w:hAnsi="Times New Roman" w:cs="Times New Roman"/>
          <w:sz w:val="24"/>
          <w:lang w:val="lv-LV"/>
        </w:rPr>
        <w:t xml:space="preserve">ja </w:t>
      </w:r>
      <w:r w:rsidR="00355828">
        <w:rPr>
          <w:rFonts w:ascii="Times New Roman" w:hAnsi="Times New Roman" w:cs="Times New Roman"/>
          <w:sz w:val="24"/>
          <w:lang w:val="lv-LV"/>
        </w:rPr>
        <w:t>vienlaikus spēkā ir sekojoši nosacījumi:</w:t>
      </w:r>
    </w:p>
    <w:p w14:paraId="4FFFEBA9" w14:textId="18D7C16C" w:rsidR="00355828" w:rsidRDefault="00355828" w:rsidP="00355828">
      <w:pPr>
        <w:pStyle w:val="ListParagraph"/>
        <w:numPr>
          <w:ilvl w:val="1"/>
          <w:numId w:val="8"/>
        </w:numPr>
        <w:jc w:val="both"/>
        <w:rPr>
          <w:rFonts w:ascii="Times New Roman" w:hAnsi="Times New Roman" w:cs="Times New Roman"/>
          <w:sz w:val="24"/>
          <w:lang w:val="lv-LV"/>
        </w:rPr>
      </w:pPr>
      <w:r>
        <w:rPr>
          <w:rFonts w:ascii="Times New Roman" w:hAnsi="Times New Roman" w:cs="Times New Roman"/>
          <w:sz w:val="24"/>
          <w:lang w:val="lv-LV"/>
        </w:rPr>
        <w:t xml:space="preserve"> </w:t>
      </w:r>
      <w:r w:rsidR="00442D98" w:rsidRPr="00E07D50">
        <w:rPr>
          <w:rFonts w:ascii="Times New Roman" w:hAnsi="Times New Roman" w:cs="Times New Roman"/>
          <w:sz w:val="24"/>
          <w:lang w:val="lv-LV"/>
        </w:rPr>
        <w:t xml:space="preserve">IZPILDĪTĀJS līdz </w:t>
      </w:r>
      <w:r w:rsidR="0095627F">
        <w:rPr>
          <w:rFonts w:ascii="Times New Roman" w:hAnsi="Times New Roman" w:cs="Times New Roman"/>
          <w:sz w:val="24"/>
          <w:lang w:val="lv-LV"/>
        </w:rPr>
        <w:t xml:space="preserve">nākošā mēneša </w:t>
      </w:r>
      <w:r w:rsidR="00442D98" w:rsidRPr="00E07D50">
        <w:rPr>
          <w:rFonts w:ascii="Times New Roman" w:hAnsi="Times New Roman" w:cs="Times New Roman"/>
          <w:sz w:val="24"/>
          <w:lang w:val="lv-LV"/>
        </w:rPr>
        <w:t>30.</w:t>
      </w:r>
      <w:r w:rsidR="0095627F">
        <w:rPr>
          <w:rFonts w:ascii="Times New Roman" w:hAnsi="Times New Roman" w:cs="Times New Roman"/>
          <w:sz w:val="24"/>
          <w:lang w:val="lv-LV"/>
        </w:rPr>
        <w:t>datumam</w:t>
      </w:r>
      <w:r w:rsidR="0095627F">
        <w:rPr>
          <w:rStyle w:val="FootnoteReference"/>
          <w:rFonts w:ascii="Times New Roman" w:hAnsi="Times New Roman" w:cs="Times New Roman"/>
          <w:sz w:val="24"/>
          <w:lang w:val="lv-LV"/>
        </w:rPr>
        <w:footnoteReference w:id="1"/>
      </w:r>
      <w:r w:rsidR="0095627F">
        <w:rPr>
          <w:rFonts w:ascii="Times New Roman" w:hAnsi="Times New Roman" w:cs="Times New Roman"/>
          <w:sz w:val="24"/>
          <w:lang w:val="lv-LV"/>
        </w:rPr>
        <w:t xml:space="preserve"> par iepriekšējo ceturksni</w:t>
      </w:r>
      <w:r w:rsidR="00442D98" w:rsidRPr="00E07D50">
        <w:rPr>
          <w:rFonts w:ascii="Times New Roman" w:hAnsi="Times New Roman" w:cs="Times New Roman"/>
          <w:sz w:val="24"/>
          <w:lang w:val="lv-LV"/>
        </w:rPr>
        <w:t xml:space="preserve"> </w:t>
      </w:r>
      <w:r w:rsidR="0095627F" w:rsidRPr="00E07D50">
        <w:rPr>
          <w:rFonts w:ascii="Times New Roman" w:hAnsi="Times New Roman" w:cs="Times New Roman"/>
          <w:sz w:val="24"/>
          <w:lang w:val="lv-LV"/>
        </w:rPr>
        <w:t xml:space="preserve">DIENESTAM </w:t>
      </w:r>
      <w:r w:rsidR="00442D98" w:rsidRPr="00E07D50">
        <w:rPr>
          <w:rFonts w:ascii="Times New Roman" w:hAnsi="Times New Roman" w:cs="Times New Roman"/>
          <w:sz w:val="24"/>
          <w:lang w:val="lv-LV"/>
        </w:rPr>
        <w:t>ir iesniedzis</w:t>
      </w:r>
      <w:r>
        <w:rPr>
          <w:rFonts w:ascii="Times New Roman" w:hAnsi="Times New Roman" w:cs="Times New Roman"/>
          <w:sz w:val="24"/>
          <w:lang w:val="lv-LV"/>
        </w:rPr>
        <w:t xml:space="preserve"> rakstisku </w:t>
      </w:r>
      <w:r w:rsidR="00442D98" w:rsidRPr="00442D98">
        <w:rPr>
          <w:rFonts w:ascii="Times New Roman" w:hAnsi="Times New Roman" w:cs="Times New Roman"/>
          <w:sz w:val="24"/>
          <w:lang w:val="lv-LV"/>
        </w:rPr>
        <w:t>iesniegumu</w:t>
      </w:r>
      <w:r w:rsidR="0095627F">
        <w:rPr>
          <w:rFonts w:ascii="Times New Roman" w:hAnsi="Times New Roman" w:cs="Times New Roman"/>
          <w:sz w:val="24"/>
          <w:lang w:val="lv-LV"/>
        </w:rPr>
        <w:t xml:space="preserve"> par kompensācijas maksājuma piešķiršanu</w:t>
      </w:r>
      <w:r w:rsidR="00442D98" w:rsidRPr="00442D98">
        <w:rPr>
          <w:rFonts w:ascii="Times New Roman" w:hAnsi="Times New Roman" w:cs="Times New Roman"/>
          <w:sz w:val="24"/>
          <w:lang w:val="lv-LV"/>
        </w:rPr>
        <w:t xml:space="preserve">, </w:t>
      </w:r>
      <w:r w:rsidR="0095627F">
        <w:rPr>
          <w:rFonts w:ascii="Times New Roman" w:hAnsi="Times New Roman" w:cs="Times New Roman"/>
          <w:sz w:val="24"/>
          <w:lang w:val="lv-LV"/>
        </w:rPr>
        <w:t xml:space="preserve">ar aprēķiniem </w:t>
      </w:r>
      <w:r w:rsidR="00442D98" w:rsidRPr="00442D98">
        <w:rPr>
          <w:rFonts w:ascii="Times New Roman" w:hAnsi="Times New Roman" w:cs="Times New Roman"/>
          <w:sz w:val="24"/>
          <w:lang w:val="lv-LV"/>
        </w:rPr>
        <w:t>pamatojot</w:t>
      </w:r>
      <w:r w:rsidR="00442D98" w:rsidRPr="00E07D50">
        <w:rPr>
          <w:rFonts w:ascii="Times New Roman" w:hAnsi="Times New Roman" w:cs="Times New Roman"/>
          <w:sz w:val="24"/>
          <w:lang w:val="lv-LV"/>
        </w:rPr>
        <w:t xml:space="preserve">, ka </w:t>
      </w:r>
      <w:r w:rsidR="00E07D50">
        <w:rPr>
          <w:rFonts w:ascii="Times New Roman" w:hAnsi="Times New Roman" w:cs="Times New Roman"/>
          <w:sz w:val="24"/>
          <w:lang w:val="lv-LV"/>
        </w:rPr>
        <w:t>IZPILDĪTĀJAM</w:t>
      </w:r>
      <w:r w:rsidR="00E07D50" w:rsidRPr="00E07D50">
        <w:rPr>
          <w:rFonts w:ascii="Times New Roman" w:hAnsi="Times New Roman" w:cs="Times New Roman"/>
          <w:sz w:val="24"/>
          <w:lang w:val="lv-LV"/>
        </w:rPr>
        <w:t xml:space="preserve"> </w:t>
      </w:r>
      <w:r w:rsidR="00442D98" w:rsidRPr="00E07D50">
        <w:rPr>
          <w:rFonts w:ascii="Times New Roman" w:hAnsi="Times New Roman" w:cs="Times New Roman"/>
          <w:sz w:val="24"/>
          <w:lang w:val="lv-LV"/>
        </w:rPr>
        <w:t>valstī noteikto ierobežojumu dēļ ir radušies finansiāli zaudējumi, kas lielāki par 500 EUR.</w:t>
      </w:r>
    </w:p>
    <w:p w14:paraId="3BB121B2" w14:textId="34897CCB" w:rsidR="00355828" w:rsidRDefault="00355828" w:rsidP="00355828">
      <w:pPr>
        <w:pStyle w:val="ListParagraph"/>
        <w:numPr>
          <w:ilvl w:val="1"/>
          <w:numId w:val="8"/>
        </w:numPr>
        <w:jc w:val="both"/>
        <w:rPr>
          <w:rFonts w:ascii="Times New Roman" w:hAnsi="Times New Roman" w:cs="Times New Roman"/>
          <w:sz w:val="24"/>
          <w:lang w:val="lv-LV"/>
        </w:rPr>
      </w:pPr>
      <w:r>
        <w:rPr>
          <w:rFonts w:ascii="Times New Roman" w:hAnsi="Times New Roman" w:cs="Times New Roman"/>
          <w:sz w:val="24"/>
          <w:lang w:val="lv-LV"/>
        </w:rPr>
        <w:t xml:space="preserve"> </w:t>
      </w:r>
      <w:r w:rsidR="0095627F">
        <w:rPr>
          <w:rFonts w:ascii="Times New Roman" w:hAnsi="Times New Roman" w:cs="Times New Roman"/>
          <w:sz w:val="24"/>
          <w:lang w:val="lv-LV"/>
        </w:rPr>
        <w:t>IZPILDĪTĀJS</w:t>
      </w:r>
      <w:r w:rsidRPr="00355828">
        <w:rPr>
          <w:rFonts w:ascii="Times New Roman" w:hAnsi="Times New Roman" w:cs="Times New Roman"/>
          <w:sz w:val="24"/>
          <w:lang w:val="lv-LV"/>
        </w:rPr>
        <w:t xml:space="preserve"> ir pārtrau</w:t>
      </w:r>
      <w:r w:rsidR="0095627F">
        <w:rPr>
          <w:rFonts w:ascii="Times New Roman" w:hAnsi="Times New Roman" w:cs="Times New Roman"/>
          <w:sz w:val="24"/>
          <w:lang w:val="lv-LV"/>
        </w:rPr>
        <w:t>cis</w:t>
      </w:r>
      <w:r w:rsidRPr="00355828">
        <w:rPr>
          <w:rFonts w:ascii="Times New Roman" w:hAnsi="Times New Roman" w:cs="Times New Roman"/>
          <w:sz w:val="24"/>
          <w:lang w:val="lv-LV"/>
        </w:rPr>
        <w:t xml:space="preserve"> sniegt stacionārās veselības aprūpes vai dienas stacionāra veselības aprūpes pakalpojumus, lai novirzītu tā rīcībā esošos resursus (piemēram, personālu, telpas) Covid-19 pacientu vai terapijas profila pacientu stacionārajai ārstēšanai;</w:t>
      </w:r>
    </w:p>
    <w:p w14:paraId="331DBE42" w14:textId="275EBE48" w:rsidR="00355828" w:rsidRDefault="00355828" w:rsidP="00355828">
      <w:pPr>
        <w:pStyle w:val="ListParagraph"/>
        <w:numPr>
          <w:ilvl w:val="1"/>
          <w:numId w:val="8"/>
        </w:numPr>
        <w:jc w:val="both"/>
        <w:rPr>
          <w:rFonts w:ascii="Times New Roman" w:hAnsi="Times New Roman" w:cs="Times New Roman"/>
          <w:sz w:val="24"/>
          <w:lang w:val="lv-LV"/>
        </w:rPr>
      </w:pPr>
      <w:r>
        <w:rPr>
          <w:rFonts w:ascii="Times New Roman" w:hAnsi="Times New Roman" w:cs="Times New Roman"/>
          <w:sz w:val="24"/>
          <w:lang w:val="lv-LV"/>
        </w:rPr>
        <w:t>D</w:t>
      </w:r>
      <w:r w:rsidR="0095627F">
        <w:rPr>
          <w:rFonts w:ascii="Times New Roman" w:hAnsi="Times New Roman" w:cs="Times New Roman"/>
          <w:sz w:val="24"/>
          <w:lang w:val="lv-LV"/>
        </w:rPr>
        <w:t>IENESTA</w:t>
      </w:r>
      <w:r w:rsidRPr="00355828">
        <w:rPr>
          <w:rFonts w:ascii="Times New Roman" w:hAnsi="Times New Roman" w:cs="Times New Roman"/>
          <w:sz w:val="24"/>
          <w:lang w:val="lv-LV"/>
        </w:rPr>
        <w:t xml:space="preserve"> veiktā samaksa par Covid-19 pacientu vai terapijas profila pacientu ārstēšanu </w:t>
      </w:r>
      <w:r w:rsidR="0095627F">
        <w:rPr>
          <w:rFonts w:ascii="Times New Roman" w:hAnsi="Times New Roman" w:cs="Times New Roman"/>
          <w:sz w:val="24"/>
          <w:lang w:val="lv-LV"/>
        </w:rPr>
        <w:t xml:space="preserve">attiecīgajā ceturksnī </w:t>
      </w:r>
      <w:r w:rsidRPr="00355828">
        <w:rPr>
          <w:rFonts w:ascii="Times New Roman" w:hAnsi="Times New Roman" w:cs="Times New Roman"/>
          <w:sz w:val="24"/>
          <w:lang w:val="lv-LV"/>
        </w:rPr>
        <w:t>nesedz ārstniecības personu atalgojuma un telpu uzturēšanas izmaksas veselības aprūpes pakalpojumu programmās, kurās ir pārtraukta pakalpojumu sniegšana.</w:t>
      </w:r>
    </w:p>
    <w:p w14:paraId="3848E435" w14:textId="77777777" w:rsidR="006F76C0" w:rsidRDefault="006F76C0" w:rsidP="006F76C0">
      <w:pPr>
        <w:pStyle w:val="ListParagraph"/>
        <w:jc w:val="both"/>
        <w:rPr>
          <w:rFonts w:ascii="Times New Roman" w:hAnsi="Times New Roman" w:cs="Times New Roman"/>
          <w:sz w:val="24"/>
          <w:lang w:val="lv-LV"/>
        </w:rPr>
      </w:pPr>
    </w:p>
    <w:p w14:paraId="297B87D7" w14:textId="5B55F8DD" w:rsidR="00E7192B" w:rsidRPr="00791DEE" w:rsidRDefault="008B6D7A" w:rsidP="0095627F">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w:t>
      </w:r>
      <w:r w:rsidR="00482A1A" w:rsidRPr="001543D8">
        <w:rPr>
          <w:rFonts w:ascii="Times New Roman" w:hAnsi="Times New Roman" w:cs="Times New Roman"/>
          <w:sz w:val="24"/>
          <w:lang w:val="lv-LV"/>
        </w:rPr>
        <w:t>IENESTS</w:t>
      </w:r>
      <w:r w:rsidRPr="001543D8">
        <w:rPr>
          <w:rFonts w:ascii="Times New Roman" w:hAnsi="Times New Roman" w:cs="Times New Roman"/>
          <w:sz w:val="24"/>
          <w:lang w:val="lv-LV"/>
        </w:rPr>
        <w:t xml:space="preserve"> k</w:t>
      </w:r>
      <w:r w:rsidR="00E7192B" w:rsidRPr="001543D8">
        <w:rPr>
          <w:rFonts w:ascii="Times New Roman" w:hAnsi="Times New Roman" w:cs="Times New Roman"/>
          <w:sz w:val="24"/>
          <w:lang w:val="lv-LV"/>
        </w:rPr>
        <w:t>ompensācijas maksājum</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maksā </w:t>
      </w:r>
      <w:r w:rsidR="00E7192B" w:rsidRPr="001543D8">
        <w:rPr>
          <w:rFonts w:ascii="Times New Roman" w:hAnsi="Times New Roman" w:cs="Times New Roman"/>
          <w:sz w:val="24"/>
          <w:lang w:val="lv-LV"/>
        </w:rPr>
        <w:t xml:space="preserve">par </w:t>
      </w:r>
      <w:r w:rsidR="00EB31D7" w:rsidRPr="001543D8">
        <w:rPr>
          <w:rFonts w:ascii="Times New Roman" w:hAnsi="Times New Roman" w:cs="Times New Roman"/>
          <w:sz w:val="24"/>
          <w:lang w:val="lv-LV"/>
        </w:rPr>
        <w:t xml:space="preserve">stacionārajām </w:t>
      </w:r>
      <w:r w:rsidR="00E7192B" w:rsidRPr="001543D8">
        <w:rPr>
          <w:rFonts w:ascii="Times New Roman" w:hAnsi="Times New Roman" w:cs="Times New Roman"/>
          <w:sz w:val="24"/>
          <w:lang w:val="lv-LV"/>
        </w:rPr>
        <w:t xml:space="preserve">plānveida </w:t>
      </w:r>
      <w:r w:rsidR="00EB31D7" w:rsidRPr="001543D8">
        <w:rPr>
          <w:rFonts w:ascii="Times New Roman" w:hAnsi="Times New Roman" w:cs="Times New Roman"/>
          <w:sz w:val="24"/>
          <w:lang w:val="lv-LV"/>
        </w:rPr>
        <w:t xml:space="preserve">iezīmēto </w:t>
      </w:r>
      <w:r w:rsidR="00E7192B" w:rsidRPr="001543D8">
        <w:rPr>
          <w:rFonts w:ascii="Times New Roman" w:hAnsi="Times New Roman" w:cs="Times New Roman"/>
          <w:sz w:val="24"/>
          <w:lang w:val="lv-LV"/>
        </w:rPr>
        <w:t xml:space="preserve">pakalpojumu programmām, kas atbilstoši </w:t>
      </w:r>
      <w:r w:rsidR="006D4D8F">
        <w:rPr>
          <w:rFonts w:ascii="Times New Roman" w:hAnsi="Times New Roman" w:cs="Times New Roman"/>
          <w:sz w:val="24"/>
          <w:lang w:val="lv-LV"/>
        </w:rPr>
        <w:t xml:space="preserve">2021. gada 28. septembra </w:t>
      </w:r>
      <w:r w:rsidR="006E6674" w:rsidRPr="001543D8">
        <w:rPr>
          <w:rFonts w:ascii="Times New Roman" w:hAnsi="Times New Roman" w:cs="Times New Roman"/>
          <w:sz w:val="24"/>
          <w:lang w:val="lv-LV"/>
        </w:rPr>
        <w:t>M</w:t>
      </w:r>
      <w:r w:rsidR="0075736E">
        <w:rPr>
          <w:rFonts w:ascii="Times New Roman" w:hAnsi="Times New Roman" w:cs="Times New Roman"/>
          <w:sz w:val="24"/>
          <w:lang w:val="lv-LV"/>
        </w:rPr>
        <w:t xml:space="preserve">inistra kabineta </w:t>
      </w:r>
      <w:r w:rsidR="006E6674" w:rsidRPr="001543D8">
        <w:rPr>
          <w:rFonts w:ascii="Times New Roman" w:hAnsi="Times New Roman" w:cs="Times New Roman"/>
          <w:sz w:val="24"/>
          <w:lang w:val="lv-LV"/>
        </w:rPr>
        <w:t xml:space="preserve">noteikumu </w:t>
      </w:r>
      <w:r w:rsidR="0075736E">
        <w:rPr>
          <w:rFonts w:ascii="Times New Roman" w:hAnsi="Times New Roman" w:cs="Times New Roman"/>
          <w:sz w:val="24"/>
          <w:lang w:val="lv-LV"/>
        </w:rPr>
        <w:t>Nr. 662 “</w:t>
      </w:r>
      <w:r w:rsidR="0075736E" w:rsidRPr="0075736E">
        <w:rPr>
          <w:rFonts w:ascii="Times New Roman" w:hAnsi="Times New Roman" w:cs="Times New Roman"/>
          <w:sz w:val="24"/>
          <w:lang w:val="lv-LV"/>
        </w:rPr>
        <w:t>Epidemioloģiskās drošības pasākumi Covid-19 infekcijas izplatības ierobežošanai</w:t>
      </w:r>
      <w:r w:rsidR="0075736E">
        <w:rPr>
          <w:rFonts w:ascii="Times New Roman" w:hAnsi="Times New Roman" w:cs="Times New Roman"/>
          <w:sz w:val="24"/>
          <w:lang w:val="lv-LV"/>
        </w:rPr>
        <w:t xml:space="preserve">” </w:t>
      </w:r>
      <w:r w:rsidR="001121F2">
        <w:rPr>
          <w:rFonts w:ascii="Times New Roman" w:hAnsi="Times New Roman" w:cs="Times New Roman"/>
          <w:sz w:val="24"/>
          <w:lang w:val="lv-LV"/>
        </w:rPr>
        <w:t>236</w:t>
      </w:r>
      <w:r w:rsidR="006E6674" w:rsidRPr="001543D8">
        <w:rPr>
          <w:rFonts w:ascii="Times New Roman" w:hAnsi="Times New Roman" w:cs="Times New Roman"/>
          <w:sz w:val="24"/>
          <w:lang w:val="lv-LV"/>
        </w:rPr>
        <w:t>. punktam</w:t>
      </w:r>
      <w:r w:rsidR="00EB31D7" w:rsidRPr="001543D8">
        <w:rPr>
          <w:rFonts w:ascii="Times New Roman" w:hAnsi="Times New Roman" w:cs="Times New Roman"/>
          <w:sz w:val="24"/>
          <w:lang w:val="lv-LV"/>
        </w:rPr>
        <w:t xml:space="preserve"> </w:t>
      </w:r>
      <w:r w:rsidR="001121F2">
        <w:rPr>
          <w:rFonts w:ascii="Times New Roman" w:hAnsi="Times New Roman" w:cs="Times New Roman"/>
          <w:sz w:val="24"/>
          <w:lang w:val="lv-LV"/>
        </w:rPr>
        <w:t>net</w:t>
      </w:r>
      <w:r w:rsidR="00E7192B" w:rsidRPr="001543D8">
        <w:rPr>
          <w:rFonts w:ascii="Times New Roman" w:hAnsi="Times New Roman" w:cs="Times New Roman"/>
          <w:sz w:val="24"/>
          <w:lang w:val="lv-LV"/>
        </w:rPr>
        <w:t xml:space="preserve">iek </w:t>
      </w:r>
      <w:r w:rsidR="001121F2">
        <w:rPr>
          <w:rFonts w:ascii="Times New Roman" w:hAnsi="Times New Roman" w:cs="Times New Roman"/>
          <w:sz w:val="24"/>
          <w:lang w:val="lv-LV"/>
        </w:rPr>
        <w:t xml:space="preserve">atļautas, tādējādi tiek </w:t>
      </w:r>
      <w:r w:rsidR="00E7192B" w:rsidRPr="00791DEE">
        <w:rPr>
          <w:rFonts w:ascii="Times New Roman" w:hAnsi="Times New Roman" w:cs="Times New Roman"/>
          <w:b/>
          <w:sz w:val="24"/>
          <w:lang w:val="lv-LV"/>
        </w:rPr>
        <w:t xml:space="preserve">ierobežotas </w:t>
      </w:r>
      <w:r w:rsidR="00B62F9E" w:rsidRPr="00791DEE">
        <w:rPr>
          <w:rFonts w:ascii="Times New Roman" w:hAnsi="Times New Roman" w:cs="Times New Roman"/>
          <w:sz w:val="24"/>
          <w:lang w:val="lv-LV"/>
        </w:rPr>
        <w:t xml:space="preserve">un </w:t>
      </w:r>
      <w:r w:rsidR="00EB31D7" w:rsidRPr="00791DEE">
        <w:rPr>
          <w:rFonts w:ascii="Times New Roman" w:hAnsi="Times New Roman" w:cs="Times New Roman"/>
          <w:sz w:val="24"/>
          <w:lang w:val="lv-LV"/>
        </w:rPr>
        <w:t xml:space="preserve">tiek </w:t>
      </w:r>
      <w:r w:rsidR="00E7192B" w:rsidRPr="00791DEE">
        <w:rPr>
          <w:rFonts w:ascii="Times New Roman" w:hAnsi="Times New Roman" w:cs="Times New Roman"/>
          <w:b/>
          <w:sz w:val="24"/>
          <w:lang w:val="lv-LV"/>
        </w:rPr>
        <w:t>pārtraukta</w:t>
      </w:r>
      <w:r w:rsidR="00E7192B" w:rsidRPr="00791DEE">
        <w:rPr>
          <w:rFonts w:ascii="Times New Roman" w:hAnsi="Times New Roman" w:cs="Times New Roman"/>
          <w:sz w:val="24"/>
          <w:lang w:val="lv-LV"/>
        </w:rPr>
        <w:t xml:space="preserve"> to nodrošināšana</w:t>
      </w:r>
      <w:r w:rsidR="00EB31D7" w:rsidRPr="00791DEE">
        <w:rPr>
          <w:rFonts w:ascii="Times New Roman" w:hAnsi="Times New Roman" w:cs="Times New Roman"/>
          <w:sz w:val="24"/>
          <w:lang w:val="lv-LV"/>
        </w:rPr>
        <w:t xml:space="preserve"> pilnībā</w:t>
      </w:r>
      <w:r w:rsidR="00E7192B" w:rsidRPr="00791DEE">
        <w:rPr>
          <w:rFonts w:ascii="Times New Roman" w:hAnsi="Times New Roman" w:cs="Times New Roman"/>
          <w:sz w:val="24"/>
          <w:lang w:val="lv-LV"/>
        </w:rPr>
        <w:t xml:space="preserve"> līdz ārkārtas situācijas beigā</w:t>
      </w:r>
      <w:r w:rsidR="001121F2" w:rsidRPr="00791DEE">
        <w:rPr>
          <w:rFonts w:ascii="Times New Roman" w:hAnsi="Times New Roman" w:cs="Times New Roman"/>
          <w:sz w:val="24"/>
          <w:lang w:val="lv-LV"/>
        </w:rPr>
        <w:t>m</w:t>
      </w:r>
      <w:r w:rsidR="0085407D" w:rsidRPr="00791DEE">
        <w:rPr>
          <w:rFonts w:ascii="Times New Roman" w:hAnsi="Times New Roman" w:cs="Times New Roman"/>
          <w:sz w:val="24"/>
          <w:lang w:val="lv-LV"/>
        </w:rPr>
        <w:t xml:space="preserve">, </w:t>
      </w:r>
      <w:r w:rsidR="001121F2" w:rsidRPr="00791DEE">
        <w:rPr>
          <w:rFonts w:ascii="Times New Roman" w:hAnsi="Times New Roman" w:cs="Times New Roman"/>
          <w:sz w:val="24"/>
          <w:lang w:val="lv-LV"/>
        </w:rPr>
        <w:t>lai</w:t>
      </w:r>
      <w:r w:rsidR="00392798" w:rsidRPr="00791DEE">
        <w:rPr>
          <w:rFonts w:ascii="Times New Roman" w:hAnsi="Times New Roman" w:cs="Times New Roman"/>
          <w:sz w:val="24"/>
          <w:lang w:val="lv-LV"/>
        </w:rPr>
        <w:t xml:space="preserve"> nodrošinātu Covid- 19 pacientu ārstēšanu</w:t>
      </w:r>
      <w:r w:rsidR="00E7192B" w:rsidRPr="00791DEE">
        <w:rPr>
          <w:rFonts w:ascii="Times New Roman" w:hAnsi="Times New Roman" w:cs="Times New Roman"/>
          <w:sz w:val="24"/>
          <w:lang w:val="lv-LV"/>
        </w:rPr>
        <w:t>:</w:t>
      </w:r>
    </w:p>
    <w:p w14:paraId="3885D0E8" w14:textId="1A869B70"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Ceļa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3C53CDBB" w14:textId="3905E577"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Ceļa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sarežģītos gadījumos;</w:t>
      </w:r>
    </w:p>
    <w:p w14:paraId="7B80BD8E" w14:textId="3240CE8A"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lastRenderedPageBreak/>
        <w:t>Černobiļas AES avārijas likvidētāju un arodslimnieku ārstēšana stacionārā;</w:t>
      </w:r>
    </w:p>
    <w:p w14:paraId="359D9607" w14:textId="7B404278"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Elkoņa locītavas daļēja (</w:t>
      </w:r>
      <w:proofErr w:type="spellStart"/>
      <w:r w:rsidRPr="001543D8">
        <w:rPr>
          <w:rFonts w:ascii="Times New Roman" w:hAnsi="Times New Roman" w:cs="Times New Roman"/>
          <w:sz w:val="24"/>
          <w:lang w:val="lv-LV"/>
        </w:rPr>
        <w:t>radija</w:t>
      </w:r>
      <w:proofErr w:type="spellEnd"/>
      <w:r w:rsidRPr="001543D8">
        <w:rPr>
          <w:rFonts w:ascii="Times New Roman" w:hAnsi="Times New Roman" w:cs="Times New Roman"/>
          <w:sz w:val="24"/>
          <w:lang w:val="lv-LV"/>
        </w:rPr>
        <w:t xml:space="preserve"> galviņas)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2AF43EC0" w14:textId="6B42FA97"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Elkoņa locītavas totālā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1C5F762A" w14:textId="03945C95"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w:t>
      </w:r>
      <w:proofErr w:type="spellStart"/>
      <w:r w:rsidRPr="001543D8">
        <w:rPr>
          <w:rFonts w:ascii="Times New Roman" w:hAnsi="Times New Roman" w:cs="Times New Roman"/>
          <w:sz w:val="24"/>
          <w:lang w:val="lv-LV"/>
        </w:rPr>
        <w:t>bezcementa</w:t>
      </w:r>
      <w:proofErr w:type="spellEnd"/>
      <w:r w:rsidRPr="001543D8">
        <w:rPr>
          <w:rFonts w:ascii="Times New Roman" w:hAnsi="Times New Roman" w:cs="Times New Roman"/>
          <w:sz w:val="24"/>
          <w:lang w:val="lv-LV"/>
        </w:rPr>
        <w:t xml:space="preserve"> fiksācijas vai hibrīda tipa endoprotēzi;</w:t>
      </w:r>
    </w:p>
    <w:p w14:paraId="4E5E9456" w14:textId="6DB07EFE"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w:t>
      </w:r>
      <w:proofErr w:type="spellStart"/>
      <w:r w:rsidRPr="001543D8">
        <w:rPr>
          <w:rFonts w:ascii="Times New Roman" w:hAnsi="Times New Roman" w:cs="Times New Roman"/>
          <w:sz w:val="24"/>
          <w:lang w:val="lv-LV"/>
        </w:rPr>
        <w:t>bezcementa</w:t>
      </w:r>
      <w:proofErr w:type="spellEnd"/>
      <w:r w:rsidRPr="001543D8">
        <w:rPr>
          <w:rFonts w:ascii="Times New Roman" w:hAnsi="Times New Roman" w:cs="Times New Roman"/>
          <w:sz w:val="24"/>
          <w:lang w:val="lv-LV"/>
        </w:rPr>
        <w:t xml:space="preserve"> fiksācijas vai hibrīda tipa endoprotēzi sarežģītos gadījumos;</w:t>
      </w:r>
    </w:p>
    <w:p w14:paraId="7E855ADA" w14:textId="2704BF53"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cementējamu endoprotēzi;</w:t>
      </w:r>
    </w:p>
    <w:p w14:paraId="61652069" w14:textId="7C2CA01A"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cementējamu endoprotēzi sarežģītos gadījumos;</w:t>
      </w:r>
    </w:p>
    <w:p w14:paraId="1FA9FF67" w14:textId="5706F430"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Hronisko pacientu aprūpe, ar ārstēšanās ilgumu 11 vai vairāk </w:t>
      </w:r>
      <w:proofErr w:type="spellStart"/>
      <w:r w:rsidRPr="001543D8">
        <w:rPr>
          <w:rFonts w:ascii="Times New Roman" w:hAnsi="Times New Roman" w:cs="Times New Roman"/>
          <w:sz w:val="24"/>
          <w:lang w:val="lv-LV"/>
        </w:rPr>
        <w:t>gultasdienas</w:t>
      </w:r>
      <w:proofErr w:type="spellEnd"/>
      <w:r w:rsidRPr="001543D8">
        <w:rPr>
          <w:rFonts w:ascii="Times New Roman" w:hAnsi="Times New Roman" w:cs="Times New Roman"/>
          <w:sz w:val="24"/>
          <w:lang w:val="lv-LV"/>
        </w:rPr>
        <w:t xml:space="preserve"> un pacientam ir </w:t>
      </w:r>
      <w:proofErr w:type="spellStart"/>
      <w:r w:rsidRPr="001543D8">
        <w:rPr>
          <w:rFonts w:ascii="Times New Roman" w:hAnsi="Times New Roman" w:cs="Times New Roman"/>
          <w:sz w:val="24"/>
          <w:lang w:val="lv-LV"/>
        </w:rPr>
        <w:t>blakusdiagnozes</w:t>
      </w:r>
      <w:proofErr w:type="spellEnd"/>
      <w:r w:rsidRPr="001543D8">
        <w:rPr>
          <w:rFonts w:ascii="Times New Roman" w:hAnsi="Times New Roman" w:cs="Times New Roman"/>
          <w:sz w:val="24"/>
          <w:lang w:val="lv-LV"/>
        </w:rPr>
        <w:t>, kurām nepieciešama ārstēšana;</w:t>
      </w:r>
    </w:p>
    <w:p w14:paraId="0458BDB4" w14:textId="1698F43F" w:rsidR="002F27F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Hronisko pacientu aprūpe, ar ārstēšanās ilgumu līdz 10 </w:t>
      </w:r>
      <w:proofErr w:type="spellStart"/>
      <w:r w:rsidRPr="00791DEE">
        <w:rPr>
          <w:rFonts w:ascii="Times New Roman" w:hAnsi="Times New Roman" w:cs="Times New Roman"/>
          <w:sz w:val="24"/>
          <w:lang w:val="lv-LV"/>
        </w:rPr>
        <w:t>gultasdienām</w:t>
      </w:r>
      <w:proofErr w:type="spellEnd"/>
      <w:r w:rsidRPr="00791DEE">
        <w:rPr>
          <w:rFonts w:ascii="Times New Roman" w:hAnsi="Times New Roman" w:cs="Times New Roman"/>
          <w:sz w:val="24"/>
          <w:lang w:val="lv-LV"/>
        </w:rPr>
        <w:t>;</w:t>
      </w:r>
    </w:p>
    <w:p w14:paraId="04DEE54A" w14:textId="373B30B1" w:rsidR="00D014A5" w:rsidRPr="00791DEE" w:rsidRDefault="00D014A5" w:rsidP="00833231">
      <w:pPr>
        <w:pStyle w:val="ListParagraph"/>
        <w:numPr>
          <w:ilvl w:val="1"/>
          <w:numId w:val="8"/>
        </w:numPr>
        <w:ind w:left="1276" w:hanging="567"/>
        <w:jc w:val="both"/>
        <w:rPr>
          <w:rFonts w:ascii="Times New Roman" w:hAnsi="Times New Roman" w:cs="Times New Roman"/>
          <w:sz w:val="24"/>
          <w:lang w:val="lv-LV"/>
        </w:rPr>
      </w:pPr>
      <w:r w:rsidRPr="00D014A5">
        <w:rPr>
          <w:rFonts w:ascii="Times New Roman" w:hAnsi="Times New Roman" w:cs="Times New Roman"/>
          <w:sz w:val="24"/>
          <w:lang w:val="lv-LV"/>
        </w:rPr>
        <w:t xml:space="preserve">Medicīniskā rehabilitācija pacientiem ar muguras smadzeņu </w:t>
      </w:r>
      <w:proofErr w:type="spellStart"/>
      <w:r w:rsidRPr="00D014A5">
        <w:rPr>
          <w:rFonts w:ascii="Times New Roman" w:hAnsi="Times New Roman" w:cs="Times New Roman"/>
          <w:sz w:val="24"/>
          <w:lang w:val="lv-LV"/>
        </w:rPr>
        <w:t>šķērsbojājumu</w:t>
      </w:r>
      <w:proofErr w:type="spellEnd"/>
      <w:r w:rsidRPr="00D014A5">
        <w:rPr>
          <w:rFonts w:ascii="Times New Roman" w:hAnsi="Times New Roman" w:cs="Times New Roman"/>
          <w:sz w:val="24"/>
          <w:lang w:val="lv-LV"/>
        </w:rPr>
        <w:t xml:space="preserve"> (</w:t>
      </w:r>
      <w:proofErr w:type="spellStart"/>
      <w:r w:rsidRPr="00D014A5">
        <w:rPr>
          <w:rFonts w:ascii="Times New Roman" w:hAnsi="Times New Roman" w:cs="Times New Roman"/>
          <w:sz w:val="24"/>
          <w:lang w:val="lv-LV"/>
        </w:rPr>
        <w:t>spinālie</w:t>
      </w:r>
      <w:proofErr w:type="spellEnd"/>
      <w:r w:rsidRPr="00D014A5">
        <w:rPr>
          <w:rFonts w:ascii="Times New Roman" w:hAnsi="Times New Roman" w:cs="Times New Roman"/>
          <w:sz w:val="24"/>
          <w:lang w:val="lv-LV"/>
        </w:rPr>
        <w:t xml:space="preserve"> pacienti);</w:t>
      </w:r>
    </w:p>
    <w:p w14:paraId="72264F8C"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Minesotas programma stacionārā;</w:t>
      </w:r>
    </w:p>
    <w:p w14:paraId="42C698B5"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Nacionālsociālistiskajā režīmā cietušo personu rehabilitācija;</w:t>
      </w:r>
    </w:p>
    <w:p w14:paraId="5BE6E456"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Pakalpojumi aprūpes slimnīcā vai aprūpes gultā;</w:t>
      </w:r>
    </w:p>
    <w:p w14:paraId="43D2ABE8"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Plecu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69680C38"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Revīzijas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endoprotēzes vērtību);</w:t>
      </w:r>
    </w:p>
    <w:p w14:paraId="6B7A8B39" w14:textId="59C6DDA7" w:rsidR="0085407D" w:rsidRDefault="00E7192B" w:rsidP="001121F2">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Revīzijas endoprotēžu implantēšana,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osteomielīta</w:t>
      </w:r>
      <w:proofErr w:type="spellEnd"/>
      <w:r w:rsidRPr="001543D8">
        <w:rPr>
          <w:rFonts w:ascii="Times New Roman" w:hAnsi="Times New Roman" w:cs="Times New Roman"/>
          <w:sz w:val="24"/>
          <w:lang w:val="lv-LV"/>
        </w:rPr>
        <w:t xml:space="preserve"> </w:t>
      </w:r>
      <w:r w:rsidRPr="00791DEE">
        <w:rPr>
          <w:rFonts w:ascii="Times New Roman" w:hAnsi="Times New Roman" w:cs="Times New Roman"/>
          <w:sz w:val="24"/>
          <w:lang w:val="lv-LV"/>
        </w:rPr>
        <w:t>un onkoloģijas pacientiem (bez implanta vērtības)</w:t>
      </w:r>
      <w:r w:rsidR="00D014A5">
        <w:rPr>
          <w:rFonts w:ascii="Times New Roman" w:hAnsi="Times New Roman" w:cs="Times New Roman"/>
          <w:sz w:val="24"/>
          <w:lang w:val="lv-LV"/>
        </w:rPr>
        <w:t>.</w:t>
      </w:r>
    </w:p>
    <w:p w14:paraId="3D3226F6" w14:textId="77777777" w:rsidR="00D014A5" w:rsidRPr="00791DEE" w:rsidRDefault="00D014A5" w:rsidP="00D014A5">
      <w:pPr>
        <w:pStyle w:val="ListParagraph"/>
        <w:ind w:left="1276"/>
        <w:jc w:val="both"/>
        <w:rPr>
          <w:rFonts w:ascii="Times New Roman" w:hAnsi="Times New Roman" w:cs="Times New Roman"/>
          <w:sz w:val="24"/>
          <w:lang w:val="lv-LV"/>
        </w:rPr>
      </w:pPr>
    </w:p>
    <w:p w14:paraId="7E43A9A8" w14:textId="72A34DF4" w:rsidR="00251DFB" w:rsidRPr="001543D8" w:rsidRDefault="001F415B" w:rsidP="007C450C">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DIENESTS</w:t>
      </w:r>
      <w:r w:rsidR="00251DFB" w:rsidRPr="001543D8">
        <w:rPr>
          <w:rFonts w:ascii="Times New Roman" w:hAnsi="Times New Roman" w:cs="Times New Roman"/>
          <w:sz w:val="24"/>
          <w:lang w:val="lv-LV"/>
        </w:rPr>
        <w:t xml:space="preserve"> kompensācijas maksājuma apmēru </w:t>
      </w:r>
      <w:r w:rsidR="007C450C" w:rsidRPr="001543D8">
        <w:rPr>
          <w:rFonts w:ascii="Times New Roman" w:hAnsi="Times New Roman" w:cs="Times New Roman"/>
          <w:sz w:val="24"/>
          <w:lang w:val="lv-LV"/>
        </w:rPr>
        <w:t xml:space="preserve">šī </w:t>
      </w:r>
      <w:r w:rsidR="001E2088" w:rsidRPr="001543D8">
        <w:rPr>
          <w:rFonts w:ascii="Times New Roman" w:hAnsi="Times New Roman" w:cs="Times New Roman"/>
          <w:sz w:val="24"/>
          <w:lang w:val="lv-LV"/>
        </w:rPr>
        <w:t>dokumenta</w:t>
      </w:r>
      <w:r w:rsidR="007C450C" w:rsidRPr="001543D8">
        <w:rPr>
          <w:rFonts w:ascii="Times New Roman" w:hAnsi="Times New Roman" w:cs="Times New Roman"/>
          <w:sz w:val="24"/>
          <w:lang w:val="lv-LV"/>
        </w:rPr>
        <w:t xml:space="preserve"> </w:t>
      </w:r>
      <w:r w:rsidR="009E6B76">
        <w:rPr>
          <w:rFonts w:ascii="Times New Roman" w:hAnsi="Times New Roman" w:cs="Times New Roman"/>
          <w:sz w:val="24"/>
          <w:lang w:val="lv-LV"/>
        </w:rPr>
        <w:t>4</w:t>
      </w:r>
      <w:r w:rsidR="007C450C" w:rsidRPr="001543D8">
        <w:rPr>
          <w:rFonts w:ascii="Times New Roman" w:hAnsi="Times New Roman" w:cs="Times New Roman"/>
          <w:sz w:val="24"/>
          <w:lang w:val="lv-LV"/>
        </w:rPr>
        <w:t xml:space="preserve">.punktā minētajām pakalpojumu programmām </w:t>
      </w:r>
      <w:r w:rsidR="00251DFB" w:rsidRPr="001543D8">
        <w:rPr>
          <w:rFonts w:ascii="Times New Roman" w:hAnsi="Times New Roman" w:cs="Times New Roman"/>
          <w:sz w:val="24"/>
          <w:lang w:val="lv-LV"/>
        </w:rPr>
        <w:t xml:space="preserve">attiecīgajam </w:t>
      </w:r>
      <w:r w:rsidR="00502502" w:rsidRPr="001543D8">
        <w:rPr>
          <w:rFonts w:ascii="Times New Roman" w:hAnsi="Times New Roman" w:cs="Times New Roman"/>
          <w:sz w:val="24"/>
          <w:lang w:val="lv-LV"/>
        </w:rPr>
        <w:t>ceturksnī</w:t>
      </w:r>
      <w:r w:rsidR="00251DFB" w:rsidRPr="001543D8">
        <w:rPr>
          <w:rFonts w:ascii="Times New Roman" w:hAnsi="Times New Roman" w:cs="Times New Roman"/>
          <w:sz w:val="24"/>
          <w:lang w:val="lv-LV"/>
        </w:rPr>
        <w:t xml:space="preserve"> nosaka šādā kārtībā: </w:t>
      </w:r>
    </w:p>
    <w:p w14:paraId="1A2F942E" w14:textId="46F6D57C" w:rsidR="00251DFB" w:rsidRPr="001543D8" w:rsidRDefault="00251DFB"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aprēķin</w:t>
      </w:r>
      <w:r w:rsidR="00C81F91" w:rsidRPr="001543D8">
        <w:rPr>
          <w:rFonts w:ascii="Times New Roman" w:hAnsi="Times New Roman" w:cs="Times New Roman"/>
          <w:sz w:val="24"/>
          <w:lang w:val="lv-LV"/>
        </w:rPr>
        <w:t>a</w:t>
      </w:r>
      <w:r w:rsidRPr="001543D8">
        <w:rPr>
          <w:rFonts w:ascii="Times New Roman" w:hAnsi="Times New Roman" w:cs="Times New Roman"/>
          <w:sz w:val="24"/>
          <w:lang w:val="lv-LV"/>
        </w:rPr>
        <w:t xml:space="preserve"> starpību starp </w:t>
      </w:r>
      <w:r w:rsidR="00502502" w:rsidRPr="001543D8">
        <w:rPr>
          <w:rFonts w:ascii="Times New Roman" w:hAnsi="Times New Roman" w:cs="Times New Roman"/>
          <w:sz w:val="24"/>
          <w:lang w:val="lv-LV"/>
        </w:rPr>
        <w:t>ceturksnim</w:t>
      </w:r>
      <w:r w:rsidRPr="001543D8">
        <w:rPr>
          <w:rFonts w:ascii="Times New Roman" w:hAnsi="Times New Roman" w:cs="Times New Roman"/>
          <w:sz w:val="24"/>
          <w:lang w:val="lv-LV"/>
        </w:rPr>
        <w:t xml:space="preserve"> plānoto pacientu skaitu un faktiski ārstēto pacientu skaitu </w:t>
      </w:r>
      <w:r w:rsidR="00C81F91" w:rsidRPr="001543D8">
        <w:rPr>
          <w:rFonts w:ascii="Times New Roman" w:hAnsi="Times New Roman" w:cs="Times New Roman"/>
          <w:sz w:val="24"/>
          <w:lang w:val="lv-LV"/>
        </w:rPr>
        <w:t xml:space="preserve">attiecīgajā </w:t>
      </w:r>
      <w:r w:rsidR="00502502" w:rsidRPr="001543D8">
        <w:rPr>
          <w:rFonts w:ascii="Times New Roman" w:hAnsi="Times New Roman" w:cs="Times New Roman"/>
          <w:sz w:val="24"/>
          <w:lang w:val="lv-LV"/>
        </w:rPr>
        <w:t>ceturksnī</w:t>
      </w:r>
      <w:r w:rsidR="00C81F91" w:rsidRPr="001543D8">
        <w:rPr>
          <w:rFonts w:ascii="Times New Roman" w:hAnsi="Times New Roman" w:cs="Times New Roman"/>
          <w:sz w:val="24"/>
          <w:lang w:val="lv-LV"/>
        </w:rPr>
        <w:t>;</w:t>
      </w:r>
    </w:p>
    <w:p w14:paraId="532E821E" w14:textId="662C7515" w:rsidR="00251DFB" w:rsidRPr="001543D8" w:rsidRDefault="00502502" w:rsidP="008949C7">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ceturksnim</w:t>
      </w:r>
      <w:r w:rsidR="00251DFB" w:rsidRPr="001543D8">
        <w:rPr>
          <w:rFonts w:ascii="Times New Roman" w:hAnsi="Times New Roman" w:cs="Times New Roman"/>
          <w:sz w:val="24"/>
          <w:lang w:val="lv-LV"/>
        </w:rPr>
        <w:t xml:space="preserve"> plānoto pacientu skaitu katrā no pakalpojumu programmām nosaka kā </w:t>
      </w:r>
      <w:r w:rsidR="008949C7" w:rsidRPr="001543D8">
        <w:rPr>
          <w:rFonts w:ascii="Times New Roman" w:hAnsi="Times New Roman" w:cs="Times New Roman"/>
          <w:sz w:val="24"/>
          <w:lang w:val="lv-LV"/>
        </w:rPr>
        <w:t xml:space="preserve">¼ </w:t>
      </w:r>
      <w:r w:rsidR="00251DFB" w:rsidRPr="001543D8">
        <w:rPr>
          <w:rFonts w:ascii="Times New Roman" w:hAnsi="Times New Roman" w:cs="Times New Roman"/>
          <w:sz w:val="24"/>
          <w:lang w:val="lv-LV"/>
        </w:rPr>
        <w:t>daļu no 202</w:t>
      </w:r>
      <w:r w:rsidRPr="001543D8">
        <w:rPr>
          <w:rFonts w:ascii="Times New Roman" w:hAnsi="Times New Roman" w:cs="Times New Roman"/>
          <w:sz w:val="24"/>
          <w:lang w:val="lv-LV"/>
        </w:rPr>
        <w:t>1</w:t>
      </w:r>
      <w:r w:rsidR="00251DFB" w:rsidRPr="001543D8">
        <w:rPr>
          <w:rFonts w:ascii="Times New Roman" w:hAnsi="Times New Roman" w:cs="Times New Roman"/>
          <w:sz w:val="24"/>
          <w:lang w:val="lv-LV"/>
        </w:rPr>
        <w:t xml:space="preserve">. gadam </w:t>
      </w:r>
      <w:r w:rsidR="0062200E">
        <w:rPr>
          <w:rFonts w:ascii="Times New Roman" w:hAnsi="Times New Roman" w:cs="Times New Roman"/>
          <w:sz w:val="24"/>
          <w:lang w:val="lv-LV"/>
        </w:rPr>
        <w:t xml:space="preserve">vai 2022.gadam </w:t>
      </w:r>
      <w:r w:rsidR="00251DFB" w:rsidRPr="001543D8">
        <w:rPr>
          <w:rFonts w:ascii="Times New Roman" w:hAnsi="Times New Roman" w:cs="Times New Roman"/>
          <w:sz w:val="24"/>
          <w:lang w:val="lv-LV"/>
        </w:rPr>
        <w:t>(t.i. pilnam gadam) plānotā pacientu skaita</w:t>
      </w:r>
      <w:r w:rsidR="00C81F91" w:rsidRPr="001543D8">
        <w:rPr>
          <w:rFonts w:ascii="Times New Roman" w:hAnsi="Times New Roman" w:cs="Times New Roman"/>
          <w:sz w:val="24"/>
          <w:lang w:val="lv-LV"/>
        </w:rPr>
        <w:t>;</w:t>
      </w:r>
      <w:r w:rsidR="00251DFB" w:rsidRPr="001543D8">
        <w:rPr>
          <w:rFonts w:ascii="Times New Roman" w:hAnsi="Times New Roman" w:cs="Times New Roman"/>
          <w:sz w:val="24"/>
          <w:lang w:val="lv-LV"/>
        </w:rPr>
        <w:t xml:space="preserve"> </w:t>
      </w:r>
    </w:p>
    <w:p w14:paraId="0E936CFA" w14:textId="5375F9E1" w:rsidR="00686C1A" w:rsidRPr="001543D8" w:rsidRDefault="00E7192B"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faktiski ārstēt</w:t>
      </w:r>
      <w:r w:rsidR="00C81F91" w:rsidRPr="001543D8">
        <w:rPr>
          <w:rFonts w:ascii="Times New Roman" w:hAnsi="Times New Roman" w:cs="Times New Roman"/>
          <w:sz w:val="24"/>
          <w:lang w:val="lv-LV"/>
        </w:rPr>
        <w:t>o</w:t>
      </w:r>
      <w:r w:rsidRPr="001543D8">
        <w:rPr>
          <w:rFonts w:ascii="Times New Roman" w:hAnsi="Times New Roman" w:cs="Times New Roman"/>
          <w:sz w:val="24"/>
          <w:lang w:val="lv-LV"/>
        </w:rPr>
        <w:t xml:space="preserve"> pacientu skait</w:t>
      </w:r>
      <w:r w:rsidR="00C81F91" w:rsidRPr="001543D8">
        <w:rPr>
          <w:rFonts w:ascii="Times New Roman" w:hAnsi="Times New Roman" w:cs="Times New Roman"/>
          <w:sz w:val="24"/>
          <w:lang w:val="lv-LV"/>
        </w:rPr>
        <w:t>u</w:t>
      </w:r>
      <w:r w:rsidR="00686C1A" w:rsidRPr="001543D8">
        <w:rPr>
          <w:rFonts w:ascii="Times New Roman" w:hAnsi="Times New Roman" w:cs="Times New Roman"/>
          <w:sz w:val="24"/>
          <w:lang w:val="lv-LV"/>
        </w:rPr>
        <w:t xml:space="preserve"> DIENESTS iegūst no Vadības informācijas sistēmas par iepriekšēj</w:t>
      </w:r>
      <w:r w:rsidR="00502502" w:rsidRPr="001543D8">
        <w:rPr>
          <w:rFonts w:ascii="Times New Roman" w:hAnsi="Times New Roman" w:cs="Times New Roman"/>
          <w:sz w:val="24"/>
          <w:lang w:val="lv-LV"/>
        </w:rPr>
        <w:t>iem</w:t>
      </w:r>
      <w:r w:rsidR="00686C1A" w:rsidRPr="001543D8">
        <w:rPr>
          <w:rFonts w:ascii="Times New Roman" w:hAnsi="Times New Roman" w:cs="Times New Roman"/>
          <w:sz w:val="24"/>
          <w:lang w:val="lv-LV"/>
        </w:rPr>
        <w:t xml:space="preserve"> mēne</w:t>
      </w:r>
      <w:r w:rsidR="00502502" w:rsidRPr="001543D8">
        <w:rPr>
          <w:rFonts w:ascii="Times New Roman" w:hAnsi="Times New Roman" w:cs="Times New Roman"/>
          <w:sz w:val="24"/>
          <w:lang w:val="lv-LV"/>
        </w:rPr>
        <w:t>šiem</w:t>
      </w:r>
      <w:r w:rsidR="00686C1A" w:rsidRPr="001543D8">
        <w:rPr>
          <w:rFonts w:ascii="Times New Roman" w:hAnsi="Times New Roman" w:cs="Times New Roman"/>
          <w:sz w:val="24"/>
          <w:lang w:val="lv-LV"/>
        </w:rPr>
        <w:t xml:space="preserve"> tekošā mēneša 12.datumā;</w:t>
      </w:r>
      <w:r w:rsidRPr="001543D8">
        <w:rPr>
          <w:rFonts w:ascii="Times New Roman" w:hAnsi="Times New Roman" w:cs="Times New Roman"/>
          <w:sz w:val="24"/>
          <w:lang w:val="lv-LV"/>
        </w:rPr>
        <w:t xml:space="preserve"> </w:t>
      </w:r>
    </w:p>
    <w:p w14:paraId="69EA963F" w14:textId="38FFB229" w:rsidR="001F415B" w:rsidRPr="001543D8" w:rsidRDefault="00686C1A"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faktiski ārstēto pacientu skaitu </w:t>
      </w:r>
      <w:r w:rsidR="00E7192B" w:rsidRPr="001543D8">
        <w:rPr>
          <w:rFonts w:ascii="Times New Roman" w:hAnsi="Times New Roman" w:cs="Times New Roman"/>
          <w:sz w:val="24"/>
          <w:lang w:val="lv-LV"/>
        </w:rPr>
        <w:t xml:space="preserve">apmaksā atbilstoši </w:t>
      </w:r>
      <w:r w:rsidR="00C81F91" w:rsidRPr="001543D8">
        <w:rPr>
          <w:rFonts w:ascii="Times New Roman" w:hAnsi="Times New Roman" w:cs="Times New Roman"/>
          <w:sz w:val="24"/>
          <w:lang w:val="lv-LV"/>
        </w:rPr>
        <w:t xml:space="preserve">līguma </w:t>
      </w:r>
      <w:r w:rsidR="00E7192B" w:rsidRPr="001543D8">
        <w:rPr>
          <w:rFonts w:ascii="Times New Roman" w:hAnsi="Times New Roman" w:cs="Times New Roman"/>
          <w:sz w:val="24"/>
          <w:lang w:val="lv-LV"/>
        </w:rPr>
        <w:t xml:space="preserve">apmaksas nosacījumiem un </w:t>
      </w:r>
      <w:r w:rsidR="00EB31D7" w:rsidRPr="001543D8">
        <w:rPr>
          <w:rFonts w:ascii="Times New Roman" w:hAnsi="Times New Roman" w:cs="Times New Roman"/>
          <w:sz w:val="24"/>
          <w:lang w:val="lv-LV"/>
        </w:rPr>
        <w:t xml:space="preserve">2018.gada 28.augusta </w:t>
      </w:r>
      <w:r w:rsidR="00E7192B" w:rsidRPr="001543D8">
        <w:rPr>
          <w:rFonts w:ascii="Times New Roman" w:hAnsi="Times New Roman" w:cs="Times New Roman"/>
          <w:sz w:val="24"/>
          <w:lang w:val="lv-LV"/>
        </w:rPr>
        <w:t>Ministru kabineta noteikumu Nr. 555 “Veselības aprūpes pakalpojumu organizēšanas un samaksas kārtība” (turpmāk – Noteikumi) 6.pielikumā noteiktajiem pakalpojumu programmu tarifiem</w:t>
      </w:r>
      <w:r w:rsidR="001F415B" w:rsidRPr="001543D8">
        <w:rPr>
          <w:rFonts w:ascii="Times New Roman" w:hAnsi="Times New Roman" w:cs="Times New Roman"/>
          <w:sz w:val="24"/>
          <w:lang w:val="lv-LV"/>
        </w:rPr>
        <w:t xml:space="preserve">, </w:t>
      </w:r>
      <w:r w:rsidR="00C81F91" w:rsidRPr="001543D8">
        <w:rPr>
          <w:rFonts w:ascii="Times New Roman" w:hAnsi="Times New Roman" w:cs="Times New Roman"/>
          <w:sz w:val="24"/>
          <w:lang w:val="lv-LV"/>
        </w:rPr>
        <w:t>nepārsniedzot attiecīgaj</w:t>
      </w:r>
      <w:r w:rsidR="00502502" w:rsidRPr="001543D8">
        <w:rPr>
          <w:rFonts w:ascii="Times New Roman" w:hAnsi="Times New Roman" w:cs="Times New Roman"/>
          <w:sz w:val="24"/>
          <w:lang w:val="lv-LV"/>
        </w:rPr>
        <w:t>ā</w:t>
      </w:r>
      <w:r w:rsidR="00C81F91" w:rsidRPr="001543D8">
        <w:rPr>
          <w:rFonts w:ascii="Times New Roman" w:hAnsi="Times New Roman" w:cs="Times New Roman"/>
          <w:sz w:val="24"/>
          <w:lang w:val="lv-LV"/>
        </w:rPr>
        <w:t xml:space="preserve"> </w:t>
      </w:r>
      <w:r w:rsidR="00502502" w:rsidRPr="001543D8">
        <w:rPr>
          <w:rFonts w:ascii="Times New Roman" w:hAnsi="Times New Roman" w:cs="Times New Roman"/>
          <w:sz w:val="24"/>
          <w:lang w:val="lv-LV"/>
        </w:rPr>
        <w:t xml:space="preserve">ceturksnī </w:t>
      </w:r>
      <w:r w:rsidR="00C81F91" w:rsidRPr="001543D8">
        <w:rPr>
          <w:rFonts w:ascii="Times New Roman" w:hAnsi="Times New Roman" w:cs="Times New Roman"/>
          <w:sz w:val="24"/>
          <w:lang w:val="lv-LV"/>
        </w:rPr>
        <w:t>l</w:t>
      </w:r>
      <w:r w:rsidR="00EB31D7" w:rsidRPr="001543D8">
        <w:rPr>
          <w:rFonts w:ascii="Times New Roman" w:hAnsi="Times New Roman" w:cs="Times New Roman"/>
          <w:sz w:val="24"/>
          <w:lang w:val="lv-LV"/>
        </w:rPr>
        <w:t xml:space="preserve">īgumā </w:t>
      </w:r>
      <w:r w:rsidR="00C81F91" w:rsidRPr="001543D8">
        <w:rPr>
          <w:rFonts w:ascii="Times New Roman" w:hAnsi="Times New Roman" w:cs="Times New Roman"/>
          <w:sz w:val="24"/>
          <w:lang w:val="lv-LV"/>
        </w:rPr>
        <w:t>plānoto finansējuma apmēru</w:t>
      </w:r>
      <w:r w:rsidR="00EB31D7" w:rsidRPr="001543D8">
        <w:rPr>
          <w:rFonts w:ascii="Times New Roman" w:hAnsi="Times New Roman" w:cs="Times New Roman"/>
          <w:sz w:val="24"/>
          <w:lang w:val="lv-LV"/>
        </w:rPr>
        <w:t>;</w:t>
      </w:r>
    </w:p>
    <w:p w14:paraId="446761AD" w14:textId="41F8C37F" w:rsidR="00E7192B" w:rsidRPr="001543D8" w:rsidRDefault="00EB31D7"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j</w:t>
      </w:r>
      <w:r w:rsidR="00E7192B" w:rsidRPr="001543D8">
        <w:rPr>
          <w:rFonts w:ascii="Times New Roman" w:hAnsi="Times New Roman" w:cs="Times New Roman"/>
          <w:sz w:val="24"/>
          <w:lang w:val="lv-LV"/>
        </w:rPr>
        <w:t>a</w:t>
      </w:r>
      <w:r w:rsidR="00F26786" w:rsidRPr="001543D8">
        <w:rPr>
          <w:rFonts w:ascii="Times New Roman" w:hAnsi="Times New Roman" w:cs="Times New Roman"/>
          <w:sz w:val="24"/>
          <w:lang w:val="lv-LV"/>
        </w:rPr>
        <w:t xml:space="preserve"> </w:t>
      </w:r>
      <w:r w:rsidR="00C81F91" w:rsidRPr="001543D8">
        <w:rPr>
          <w:rFonts w:ascii="Times New Roman" w:hAnsi="Times New Roman" w:cs="Times New Roman"/>
          <w:sz w:val="24"/>
          <w:lang w:val="lv-LV"/>
        </w:rPr>
        <w:t xml:space="preserve">faktiski </w:t>
      </w:r>
      <w:r w:rsidR="00F26786" w:rsidRPr="001543D8">
        <w:rPr>
          <w:rFonts w:ascii="Times New Roman" w:hAnsi="Times New Roman" w:cs="Times New Roman"/>
          <w:sz w:val="24"/>
          <w:lang w:val="lv-LV"/>
        </w:rPr>
        <w:t xml:space="preserve">ārstēto pacientu skaits ir mazāks nekā plānotais pacientu skaits </w:t>
      </w:r>
      <w:r w:rsidR="00502502" w:rsidRPr="001543D8">
        <w:rPr>
          <w:rFonts w:ascii="Times New Roman" w:hAnsi="Times New Roman" w:cs="Times New Roman"/>
          <w:sz w:val="24"/>
          <w:lang w:val="lv-LV"/>
        </w:rPr>
        <w:t>ceturksnī</w:t>
      </w:r>
      <w:r w:rsidR="00E7192B" w:rsidRPr="001543D8">
        <w:rPr>
          <w:rFonts w:ascii="Times New Roman" w:hAnsi="Times New Roman" w:cs="Times New Roman"/>
          <w:sz w:val="24"/>
          <w:lang w:val="lv-LV"/>
        </w:rPr>
        <w:t xml:space="preserve">, </w:t>
      </w:r>
      <w:r w:rsidR="001F415B" w:rsidRPr="001543D8">
        <w:rPr>
          <w:rFonts w:ascii="Times New Roman" w:hAnsi="Times New Roman" w:cs="Times New Roman"/>
          <w:sz w:val="24"/>
          <w:lang w:val="lv-LV"/>
        </w:rPr>
        <w:t xml:space="preserve">tad </w:t>
      </w:r>
      <w:r w:rsidR="00C81F91" w:rsidRPr="001543D8">
        <w:rPr>
          <w:rFonts w:ascii="Times New Roman" w:hAnsi="Times New Roman" w:cs="Times New Roman"/>
          <w:sz w:val="24"/>
          <w:lang w:val="lv-LV"/>
        </w:rPr>
        <w:t xml:space="preserve">par </w:t>
      </w:r>
      <w:r w:rsidR="00E7192B" w:rsidRPr="001543D8">
        <w:rPr>
          <w:rFonts w:ascii="Times New Roman" w:hAnsi="Times New Roman" w:cs="Times New Roman"/>
          <w:sz w:val="24"/>
          <w:u w:val="single"/>
          <w:lang w:val="lv-LV"/>
        </w:rPr>
        <w:t>neizpildīt</w:t>
      </w:r>
      <w:r w:rsidR="00C81F91" w:rsidRPr="001543D8">
        <w:rPr>
          <w:rFonts w:ascii="Times New Roman" w:hAnsi="Times New Roman" w:cs="Times New Roman"/>
          <w:sz w:val="24"/>
          <w:u w:val="single"/>
          <w:lang w:val="lv-LV"/>
        </w:rPr>
        <w:t>o</w:t>
      </w:r>
      <w:r w:rsidR="00E7192B" w:rsidRPr="001543D8">
        <w:rPr>
          <w:rFonts w:ascii="Times New Roman" w:hAnsi="Times New Roman" w:cs="Times New Roman"/>
          <w:sz w:val="24"/>
          <w:u w:val="single"/>
          <w:lang w:val="lv-LV"/>
        </w:rPr>
        <w:t xml:space="preserve"> pacientu skait</w:t>
      </w:r>
      <w:r w:rsidR="00C81F91" w:rsidRPr="001543D8">
        <w:rPr>
          <w:rFonts w:ascii="Times New Roman" w:hAnsi="Times New Roman" w:cs="Times New Roman"/>
          <w:sz w:val="24"/>
          <w:u w:val="single"/>
          <w:lang w:val="lv-LV"/>
        </w:rPr>
        <w:t>u</w:t>
      </w:r>
      <w:r w:rsidR="00E7192B" w:rsidRPr="001543D8">
        <w:rPr>
          <w:rFonts w:ascii="Times New Roman" w:hAnsi="Times New Roman" w:cs="Times New Roman"/>
          <w:sz w:val="24"/>
          <w:lang w:val="lv-LV"/>
        </w:rPr>
        <w:t xml:space="preserve"> maksā </w:t>
      </w:r>
      <w:r w:rsidR="00C67385" w:rsidRPr="001543D8">
        <w:rPr>
          <w:rFonts w:ascii="Times New Roman" w:hAnsi="Times New Roman" w:cs="Times New Roman"/>
          <w:sz w:val="24"/>
          <w:lang w:val="lv-LV"/>
        </w:rPr>
        <w:t xml:space="preserve">no ārstniecības iestādei plānotā finansējuma ceturksnī </w:t>
      </w:r>
      <w:r w:rsidR="00C67385" w:rsidRPr="001543D8">
        <w:rPr>
          <w:rFonts w:ascii="Times New Roman" w:hAnsi="Times New Roman" w:cs="Times New Roman"/>
          <w:b/>
          <w:bCs/>
          <w:sz w:val="24"/>
          <w:lang w:val="lv-LV"/>
        </w:rPr>
        <w:t>“starpības</w:t>
      </w:r>
      <w:r w:rsidR="00C67385" w:rsidRPr="001543D8">
        <w:rPr>
          <w:rFonts w:ascii="Times New Roman" w:hAnsi="Times New Roman" w:cs="Times New Roman"/>
          <w:sz w:val="24"/>
          <w:lang w:val="lv-LV"/>
        </w:rPr>
        <w:t>”, kas iegūt</w:t>
      </w:r>
      <w:r w:rsidR="00916419" w:rsidRPr="001543D8">
        <w:rPr>
          <w:rFonts w:ascii="Times New Roman" w:hAnsi="Times New Roman" w:cs="Times New Roman"/>
          <w:sz w:val="24"/>
          <w:lang w:val="lv-LV"/>
        </w:rPr>
        <w:t>a</w:t>
      </w:r>
      <w:r w:rsidR="00C67385" w:rsidRPr="001543D8">
        <w:rPr>
          <w:rFonts w:ascii="Times New Roman" w:hAnsi="Times New Roman" w:cs="Times New Roman"/>
          <w:sz w:val="24"/>
          <w:lang w:val="lv-LV"/>
        </w:rPr>
        <w:t xml:space="preserve"> no plānotā finansējuma ceturksnī, atņemot faktiski veikto darbu </w:t>
      </w:r>
      <w:r w:rsidR="00916419" w:rsidRPr="001543D8">
        <w:rPr>
          <w:rFonts w:ascii="Times New Roman" w:hAnsi="Times New Roman" w:cs="Times New Roman"/>
          <w:sz w:val="24"/>
          <w:lang w:val="lv-LV"/>
        </w:rPr>
        <w:t xml:space="preserve"> pakalpojumu </w:t>
      </w:r>
      <w:r w:rsidR="00916419" w:rsidRPr="001543D8">
        <w:rPr>
          <w:rFonts w:ascii="Times New Roman" w:hAnsi="Times New Roman" w:cs="Times New Roman"/>
          <w:sz w:val="24"/>
          <w:lang w:val="lv-LV"/>
        </w:rPr>
        <w:lastRenderedPageBreak/>
        <w:t xml:space="preserve">programmās </w:t>
      </w:r>
      <w:r w:rsidR="00C67385" w:rsidRPr="001543D8">
        <w:rPr>
          <w:rFonts w:ascii="Times New Roman" w:hAnsi="Times New Roman" w:cs="Times New Roman"/>
          <w:sz w:val="24"/>
          <w:lang w:val="lv-LV"/>
        </w:rPr>
        <w:t>ceturksnī</w:t>
      </w:r>
      <w:r w:rsidR="001767AC">
        <w:rPr>
          <w:rFonts w:ascii="Times New Roman" w:hAnsi="Times New Roman" w:cs="Times New Roman"/>
          <w:sz w:val="24"/>
          <w:lang w:val="lv-LV"/>
        </w:rPr>
        <w:t xml:space="preserve"> </w:t>
      </w:r>
      <w:r w:rsidR="00C67385" w:rsidRPr="001543D8">
        <w:rPr>
          <w:rFonts w:ascii="Times New Roman" w:hAnsi="Times New Roman" w:cs="Times New Roman"/>
          <w:sz w:val="24"/>
          <w:lang w:val="lv-LV"/>
        </w:rPr>
        <w:t xml:space="preserve">un  </w:t>
      </w:r>
      <w:r w:rsidR="00E7192B" w:rsidRPr="001543D8">
        <w:rPr>
          <w:rFonts w:ascii="Times New Roman" w:hAnsi="Times New Roman" w:cs="Times New Roman"/>
          <w:sz w:val="24"/>
          <w:lang w:val="lv-LV"/>
        </w:rPr>
        <w:t xml:space="preserve">atbilstoši pakalpojumu programmai noteiktajam </w:t>
      </w:r>
      <w:r w:rsidR="00E7192B" w:rsidRPr="001543D8">
        <w:rPr>
          <w:rFonts w:ascii="Times New Roman" w:hAnsi="Times New Roman" w:cs="Times New Roman"/>
          <w:b/>
          <w:bCs/>
          <w:sz w:val="24"/>
          <w:lang w:val="lv-LV"/>
        </w:rPr>
        <w:t>kompensācijas maksājuma tarifam</w:t>
      </w:r>
      <w:r w:rsidR="00E7192B" w:rsidRPr="001543D8">
        <w:rPr>
          <w:rFonts w:ascii="Times New Roman" w:hAnsi="Times New Roman" w:cs="Times New Roman"/>
          <w:sz w:val="24"/>
          <w:lang w:val="lv-LV"/>
        </w:rPr>
        <w:t xml:space="preserve"> (D+S+U+A)</w:t>
      </w:r>
      <w:r w:rsidRPr="001543D8">
        <w:rPr>
          <w:rFonts w:ascii="Times New Roman" w:hAnsi="Times New Roman" w:cs="Times New Roman"/>
          <w:sz w:val="24"/>
          <w:lang w:val="lv-LV"/>
        </w:rPr>
        <w:t>*</w:t>
      </w:r>
      <w:r w:rsidR="00E7192B" w:rsidRPr="001543D8">
        <w:rPr>
          <w:rFonts w:ascii="Times New Roman" w:hAnsi="Times New Roman" w:cs="Times New Roman"/>
          <w:sz w:val="24"/>
          <w:lang w:val="lv-LV"/>
        </w:rPr>
        <w:t xml:space="preserve"> </w:t>
      </w:r>
      <w:r w:rsidRPr="001543D8">
        <w:rPr>
          <w:rFonts w:ascii="Times New Roman" w:hAnsi="Times New Roman" w:cs="Times New Roman"/>
          <w:sz w:val="24"/>
          <w:lang w:val="lv-LV"/>
        </w:rPr>
        <w:t xml:space="preserve">šādā apjomā: </w:t>
      </w:r>
    </w:p>
    <w:p w14:paraId="78F39827" w14:textId="6A65566D" w:rsidR="000318C1" w:rsidRPr="001543D8" w:rsidRDefault="000318C1" w:rsidP="000318C1">
      <w:pPr>
        <w:pStyle w:val="ListParagraph"/>
        <w:spacing w:after="0" w:line="240" w:lineRule="auto"/>
        <w:ind w:left="1276"/>
        <w:jc w:val="right"/>
        <w:rPr>
          <w:rFonts w:ascii="Times New Roman" w:hAnsi="Times New Roman" w:cs="Times New Roman"/>
          <w:i/>
          <w:sz w:val="24"/>
          <w:lang w:val="lv-LV"/>
        </w:rPr>
      </w:pPr>
      <w:r w:rsidRPr="001543D8">
        <w:rPr>
          <w:rFonts w:ascii="Times New Roman" w:hAnsi="Times New Roman" w:cs="Times New Roman"/>
          <w:i/>
          <w:sz w:val="24"/>
          <w:lang w:val="lv-LV"/>
        </w:rPr>
        <w:t>1.tabula</w:t>
      </w:r>
    </w:p>
    <w:tbl>
      <w:tblPr>
        <w:tblW w:w="9669" w:type="dxa"/>
        <w:tblLook w:val="04A0" w:firstRow="1" w:lastRow="0" w:firstColumn="1" w:lastColumn="0" w:noHBand="0" w:noVBand="1"/>
      </w:tblPr>
      <w:tblGrid>
        <w:gridCol w:w="766"/>
        <w:gridCol w:w="2060"/>
        <w:gridCol w:w="1275"/>
        <w:gridCol w:w="1472"/>
        <w:gridCol w:w="1276"/>
        <w:gridCol w:w="916"/>
        <w:gridCol w:w="952"/>
        <w:gridCol w:w="952"/>
      </w:tblGrid>
      <w:tr w:rsidR="009A409B" w:rsidRPr="001543D8" w14:paraId="1D1F79C4" w14:textId="77777777" w:rsidTr="006F197D">
        <w:trPr>
          <w:trHeight w:val="1596"/>
        </w:trPr>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2D0F4" w14:textId="77777777" w:rsidR="009A409B" w:rsidRPr="00791DEE"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1987086B" w14:textId="77777777" w:rsidR="009A409B" w:rsidRPr="00791DEE"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Pakalpojuma programmas nosaukums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C5ABA4C" w14:textId="77777777" w:rsidR="009A409B" w:rsidRPr="00791DEE"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Viena pacienta ārstēšanas  tarifs </w:t>
            </w:r>
          </w:p>
        </w:tc>
        <w:tc>
          <w:tcPr>
            <w:tcW w:w="1472" w:type="dxa"/>
            <w:tcBorders>
              <w:top w:val="single" w:sz="8" w:space="0" w:color="auto"/>
              <w:left w:val="nil"/>
              <w:bottom w:val="single" w:sz="8" w:space="0" w:color="auto"/>
              <w:right w:val="single" w:sz="8" w:space="0" w:color="auto"/>
            </w:tcBorders>
            <w:shd w:val="clear" w:color="auto" w:fill="auto"/>
            <w:vAlign w:val="center"/>
            <w:hideMark/>
          </w:tcPr>
          <w:p w14:paraId="6FA9F61C" w14:textId="77777777" w:rsidR="009A409B" w:rsidRPr="00791DEE"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Viena pacienta kompensācijas maksājuma tarifs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6537DCA" w14:textId="77777777" w:rsidR="009A409B" w:rsidRPr="00791DEE"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791DEE">
              <w:rPr>
                <w:rFonts w:ascii="Times New Roman" w:eastAsia="Times New Roman" w:hAnsi="Times New Roman" w:cs="Times New Roman"/>
                <w:i/>
                <w:iCs/>
                <w:sz w:val="20"/>
                <w:szCs w:val="20"/>
                <w:lang w:val="lv-LV" w:eastAsia="lv-LV"/>
              </w:rPr>
              <w:t>t.sk. tarifa D elements</w:t>
            </w:r>
          </w:p>
        </w:tc>
        <w:tc>
          <w:tcPr>
            <w:tcW w:w="916" w:type="dxa"/>
            <w:tcBorders>
              <w:top w:val="single" w:sz="8" w:space="0" w:color="auto"/>
              <w:left w:val="nil"/>
              <w:bottom w:val="single" w:sz="8" w:space="0" w:color="auto"/>
              <w:right w:val="single" w:sz="8" w:space="0" w:color="auto"/>
            </w:tcBorders>
            <w:shd w:val="clear" w:color="auto" w:fill="auto"/>
            <w:vAlign w:val="center"/>
            <w:hideMark/>
          </w:tcPr>
          <w:p w14:paraId="2C0DA4B2" w14:textId="77777777" w:rsidR="009A409B" w:rsidRPr="00791DEE"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791DEE">
              <w:rPr>
                <w:rFonts w:ascii="Times New Roman" w:eastAsia="Times New Roman" w:hAnsi="Times New Roman" w:cs="Times New Roman"/>
                <w:i/>
                <w:iCs/>
                <w:sz w:val="20"/>
                <w:szCs w:val="20"/>
                <w:lang w:val="lv-LV" w:eastAsia="lv-LV"/>
              </w:rPr>
              <w:t xml:space="preserve"> t.sk. tarifa  </w:t>
            </w:r>
            <w:r w:rsidRPr="00791DEE">
              <w:rPr>
                <w:rFonts w:ascii="Times New Roman" w:eastAsia="Times New Roman" w:hAnsi="Times New Roman" w:cs="Times New Roman"/>
                <w:b/>
                <w:bCs/>
                <w:i/>
                <w:iCs/>
                <w:sz w:val="20"/>
                <w:szCs w:val="20"/>
                <w:lang w:val="lv-LV" w:eastAsia="lv-LV"/>
              </w:rPr>
              <w:t xml:space="preserve">S </w:t>
            </w:r>
            <w:r w:rsidRPr="00791DEE">
              <w:rPr>
                <w:rFonts w:ascii="Times New Roman" w:eastAsia="Times New Roman" w:hAnsi="Times New Roman" w:cs="Times New Roman"/>
                <w:i/>
                <w:iCs/>
                <w:sz w:val="20"/>
                <w:szCs w:val="20"/>
                <w:lang w:val="lv-LV" w:eastAsia="lv-LV"/>
              </w:rPr>
              <w:t>elements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2274133D" w14:textId="77777777" w:rsidR="009A409B" w:rsidRPr="00791DEE"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791DEE">
              <w:rPr>
                <w:rFonts w:ascii="Times New Roman" w:eastAsia="Times New Roman" w:hAnsi="Times New Roman" w:cs="Times New Roman"/>
                <w:i/>
                <w:iCs/>
                <w:sz w:val="20"/>
                <w:szCs w:val="20"/>
                <w:lang w:val="lv-LV" w:eastAsia="lv-LV"/>
              </w:rPr>
              <w:t xml:space="preserve">t.sk. tarifa </w:t>
            </w:r>
            <w:r w:rsidRPr="00791DEE">
              <w:rPr>
                <w:rFonts w:ascii="Times New Roman" w:eastAsia="Times New Roman" w:hAnsi="Times New Roman" w:cs="Times New Roman"/>
                <w:b/>
                <w:bCs/>
                <w:i/>
                <w:iCs/>
                <w:sz w:val="20"/>
                <w:szCs w:val="20"/>
                <w:lang w:val="lv-LV" w:eastAsia="lv-LV"/>
              </w:rPr>
              <w:t xml:space="preserve">U </w:t>
            </w:r>
            <w:r w:rsidRPr="00791DEE">
              <w:rPr>
                <w:rFonts w:ascii="Times New Roman" w:eastAsia="Times New Roman" w:hAnsi="Times New Roman" w:cs="Times New Roman"/>
                <w:i/>
                <w:iCs/>
                <w:sz w:val="20"/>
                <w:szCs w:val="20"/>
                <w:lang w:val="lv-LV" w:eastAsia="lv-LV"/>
              </w:rPr>
              <w:t>elements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5A12C514" w14:textId="77777777" w:rsidR="009A409B" w:rsidRPr="00791DEE"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791DEE">
              <w:rPr>
                <w:rFonts w:ascii="Times New Roman" w:eastAsia="Times New Roman" w:hAnsi="Times New Roman" w:cs="Times New Roman"/>
                <w:i/>
                <w:iCs/>
                <w:sz w:val="20"/>
                <w:szCs w:val="20"/>
                <w:lang w:val="lv-LV" w:eastAsia="lv-LV"/>
              </w:rPr>
              <w:t xml:space="preserve">t.sk. tarifa </w:t>
            </w:r>
            <w:r w:rsidRPr="00791DEE">
              <w:rPr>
                <w:rFonts w:ascii="Times New Roman" w:eastAsia="Times New Roman" w:hAnsi="Times New Roman" w:cs="Times New Roman"/>
                <w:b/>
                <w:bCs/>
                <w:i/>
                <w:iCs/>
                <w:sz w:val="20"/>
                <w:szCs w:val="20"/>
                <w:lang w:val="lv-LV" w:eastAsia="lv-LV"/>
              </w:rPr>
              <w:t xml:space="preserve">A </w:t>
            </w:r>
            <w:r w:rsidRPr="00791DEE">
              <w:rPr>
                <w:rFonts w:ascii="Times New Roman" w:eastAsia="Times New Roman" w:hAnsi="Times New Roman" w:cs="Times New Roman"/>
                <w:i/>
                <w:iCs/>
                <w:sz w:val="20"/>
                <w:szCs w:val="20"/>
                <w:lang w:val="lv-LV" w:eastAsia="lv-LV"/>
              </w:rPr>
              <w:t>elements</w:t>
            </w:r>
          </w:p>
        </w:tc>
      </w:tr>
      <w:tr w:rsidR="009A409B" w:rsidRPr="001543D8" w14:paraId="340D903E" w14:textId="77777777" w:rsidTr="006F197D">
        <w:trPr>
          <w:trHeight w:val="1068"/>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74C9BB99" w14:textId="1018DDC5"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w:t>
            </w:r>
            <w:r w:rsidR="009A409B" w:rsidRPr="00791DEE">
              <w:rPr>
                <w:rFonts w:ascii="Times New Roman" w:eastAsia="Times New Roman" w:hAnsi="Times New Roman" w:cs="Times New Roman"/>
                <w:sz w:val="20"/>
                <w:szCs w:val="20"/>
                <w:lang w:val="lv-LV" w:eastAsia="lv-LV"/>
              </w:rPr>
              <w:t>.</w:t>
            </w:r>
            <w:r>
              <w:rPr>
                <w:rFonts w:ascii="Times New Roman" w:eastAsia="Times New Roman" w:hAnsi="Times New Roman" w:cs="Times New Roman"/>
                <w:sz w:val="20"/>
                <w:szCs w:val="20"/>
                <w:lang w:val="lv-LV" w:eastAsia="lv-LV"/>
              </w:rPr>
              <w:t>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7A2ECC4C"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Černobiļas AES avārijas likvidētāju un arodslimnieku ārstēšana stacionārā</w:t>
            </w:r>
          </w:p>
        </w:tc>
        <w:tc>
          <w:tcPr>
            <w:tcW w:w="1275" w:type="dxa"/>
            <w:tcBorders>
              <w:top w:val="nil"/>
              <w:left w:val="nil"/>
              <w:bottom w:val="single" w:sz="8" w:space="0" w:color="auto"/>
              <w:right w:val="single" w:sz="8" w:space="0" w:color="auto"/>
            </w:tcBorders>
            <w:shd w:val="clear" w:color="auto" w:fill="auto"/>
            <w:noWrap/>
            <w:vAlign w:val="center"/>
            <w:hideMark/>
          </w:tcPr>
          <w:p w14:paraId="70607937"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802.09</w:t>
            </w:r>
          </w:p>
        </w:tc>
        <w:tc>
          <w:tcPr>
            <w:tcW w:w="1472" w:type="dxa"/>
            <w:tcBorders>
              <w:top w:val="nil"/>
              <w:left w:val="nil"/>
              <w:bottom w:val="single" w:sz="8" w:space="0" w:color="auto"/>
              <w:right w:val="single" w:sz="8" w:space="0" w:color="auto"/>
            </w:tcBorders>
            <w:shd w:val="clear" w:color="auto" w:fill="auto"/>
            <w:noWrap/>
            <w:vAlign w:val="center"/>
            <w:hideMark/>
          </w:tcPr>
          <w:p w14:paraId="40172BB1"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717.90 </w:t>
            </w:r>
          </w:p>
        </w:tc>
        <w:tc>
          <w:tcPr>
            <w:tcW w:w="1276" w:type="dxa"/>
            <w:tcBorders>
              <w:top w:val="nil"/>
              <w:left w:val="nil"/>
              <w:bottom w:val="single" w:sz="8" w:space="0" w:color="auto"/>
              <w:right w:val="single" w:sz="8" w:space="0" w:color="auto"/>
            </w:tcBorders>
            <w:shd w:val="clear" w:color="auto" w:fill="auto"/>
            <w:noWrap/>
            <w:vAlign w:val="center"/>
            <w:hideMark/>
          </w:tcPr>
          <w:p w14:paraId="53F3F0C1"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480.85 </w:t>
            </w:r>
          </w:p>
        </w:tc>
        <w:tc>
          <w:tcPr>
            <w:tcW w:w="916" w:type="dxa"/>
            <w:tcBorders>
              <w:top w:val="nil"/>
              <w:left w:val="nil"/>
              <w:bottom w:val="single" w:sz="8" w:space="0" w:color="auto"/>
              <w:right w:val="single" w:sz="8" w:space="0" w:color="auto"/>
            </w:tcBorders>
            <w:shd w:val="clear" w:color="auto" w:fill="auto"/>
            <w:noWrap/>
            <w:vAlign w:val="center"/>
            <w:hideMark/>
          </w:tcPr>
          <w:p w14:paraId="5067F294"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113.46 </w:t>
            </w:r>
          </w:p>
        </w:tc>
        <w:tc>
          <w:tcPr>
            <w:tcW w:w="952" w:type="dxa"/>
            <w:tcBorders>
              <w:top w:val="nil"/>
              <w:left w:val="nil"/>
              <w:bottom w:val="single" w:sz="8" w:space="0" w:color="auto"/>
              <w:right w:val="single" w:sz="8" w:space="0" w:color="auto"/>
            </w:tcBorders>
            <w:shd w:val="clear" w:color="auto" w:fill="auto"/>
            <w:noWrap/>
            <w:vAlign w:val="center"/>
            <w:hideMark/>
          </w:tcPr>
          <w:p w14:paraId="3ED2092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106.40 </w:t>
            </w:r>
          </w:p>
        </w:tc>
        <w:tc>
          <w:tcPr>
            <w:tcW w:w="952" w:type="dxa"/>
            <w:tcBorders>
              <w:top w:val="nil"/>
              <w:left w:val="nil"/>
              <w:bottom w:val="single" w:sz="8" w:space="0" w:color="auto"/>
              <w:right w:val="single" w:sz="8" w:space="0" w:color="auto"/>
            </w:tcBorders>
            <w:shd w:val="clear" w:color="auto" w:fill="auto"/>
            <w:noWrap/>
            <w:vAlign w:val="center"/>
            <w:hideMark/>
          </w:tcPr>
          <w:p w14:paraId="1AB53060"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17.19 </w:t>
            </w:r>
          </w:p>
        </w:tc>
      </w:tr>
      <w:tr w:rsidR="009A409B" w:rsidRPr="001543D8" w14:paraId="638F04A6" w14:textId="77777777" w:rsidTr="006F197D">
        <w:trPr>
          <w:trHeight w:val="139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5DC8EC37" w14:textId="33F43E18"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2</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001AD64C"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Medicīniskā rehabilitācija pacientiem ar muguras smadzeņu </w:t>
            </w:r>
            <w:proofErr w:type="spellStart"/>
            <w:r w:rsidRPr="00791DEE">
              <w:rPr>
                <w:rFonts w:ascii="Times New Roman" w:eastAsia="Times New Roman" w:hAnsi="Times New Roman" w:cs="Times New Roman"/>
                <w:sz w:val="20"/>
                <w:szCs w:val="20"/>
                <w:lang w:val="lv-LV" w:eastAsia="lv-LV"/>
              </w:rPr>
              <w:t>šķērsbojājumu</w:t>
            </w:r>
            <w:proofErr w:type="spellEnd"/>
            <w:r w:rsidRPr="00791DEE">
              <w:rPr>
                <w:rFonts w:ascii="Times New Roman" w:eastAsia="Times New Roman" w:hAnsi="Times New Roman" w:cs="Times New Roman"/>
                <w:sz w:val="20"/>
                <w:szCs w:val="20"/>
                <w:lang w:val="lv-LV" w:eastAsia="lv-LV"/>
              </w:rPr>
              <w:t xml:space="preserve"> (</w:t>
            </w:r>
            <w:proofErr w:type="spellStart"/>
            <w:r w:rsidRPr="00791DEE">
              <w:rPr>
                <w:rFonts w:ascii="Times New Roman" w:eastAsia="Times New Roman" w:hAnsi="Times New Roman" w:cs="Times New Roman"/>
                <w:sz w:val="20"/>
                <w:szCs w:val="20"/>
                <w:lang w:val="lv-LV" w:eastAsia="lv-LV"/>
              </w:rPr>
              <w:t>spinālie</w:t>
            </w:r>
            <w:proofErr w:type="spellEnd"/>
            <w:r w:rsidRPr="00791DEE">
              <w:rPr>
                <w:rFonts w:ascii="Times New Roman" w:eastAsia="Times New Roman" w:hAnsi="Times New Roman" w:cs="Times New Roman"/>
                <w:sz w:val="20"/>
                <w:szCs w:val="20"/>
                <w:lang w:val="lv-LV" w:eastAsia="lv-LV"/>
              </w:rPr>
              <w:t xml:space="preserve"> pacienti)</w:t>
            </w:r>
          </w:p>
        </w:tc>
        <w:tc>
          <w:tcPr>
            <w:tcW w:w="1275" w:type="dxa"/>
            <w:tcBorders>
              <w:top w:val="nil"/>
              <w:left w:val="nil"/>
              <w:bottom w:val="single" w:sz="8" w:space="0" w:color="auto"/>
              <w:right w:val="single" w:sz="8" w:space="0" w:color="auto"/>
            </w:tcBorders>
            <w:shd w:val="clear" w:color="auto" w:fill="auto"/>
            <w:noWrap/>
            <w:vAlign w:val="center"/>
            <w:hideMark/>
          </w:tcPr>
          <w:p w14:paraId="209BD829"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2290.4</w:t>
            </w:r>
          </w:p>
        </w:tc>
        <w:tc>
          <w:tcPr>
            <w:tcW w:w="1472" w:type="dxa"/>
            <w:tcBorders>
              <w:top w:val="nil"/>
              <w:left w:val="nil"/>
              <w:bottom w:val="single" w:sz="8" w:space="0" w:color="auto"/>
              <w:right w:val="single" w:sz="8" w:space="0" w:color="auto"/>
            </w:tcBorders>
            <w:shd w:val="clear" w:color="auto" w:fill="auto"/>
            <w:noWrap/>
            <w:vAlign w:val="center"/>
            <w:hideMark/>
          </w:tcPr>
          <w:p w14:paraId="15C0595E"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2101.54</w:t>
            </w:r>
          </w:p>
        </w:tc>
        <w:tc>
          <w:tcPr>
            <w:tcW w:w="1276" w:type="dxa"/>
            <w:tcBorders>
              <w:top w:val="nil"/>
              <w:left w:val="nil"/>
              <w:bottom w:val="single" w:sz="8" w:space="0" w:color="auto"/>
              <w:right w:val="single" w:sz="8" w:space="0" w:color="auto"/>
            </w:tcBorders>
            <w:shd w:val="clear" w:color="auto" w:fill="auto"/>
            <w:noWrap/>
            <w:vAlign w:val="center"/>
            <w:hideMark/>
          </w:tcPr>
          <w:p w14:paraId="0F311D0E"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1410.63</w:t>
            </w:r>
          </w:p>
        </w:tc>
        <w:tc>
          <w:tcPr>
            <w:tcW w:w="916" w:type="dxa"/>
            <w:tcBorders>
              <w:top w:val="nil"/>
              <w:left w:val="nil"/>
              <w:bottom w:val="single" w:sz="8" w:space="0" w:color="auto"/>
              <w:right w:val="single" w:sz="8" w:space="0" w:color="auto"/>
            </w:tcBorders>
            <w:shd w:val="clear" w:color="auto" w:fill="auto"/>
            <w:noWrap/>
            <w:vAlign w:val="center"/>
            <w:hideMark/>
          </w:tcPr>
          <w:p w14:paraId="6A345483"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332.88</w:t>
            </w:r>
          </w:p>
        </w:tc>
        <w:tc>
          <w:tcPr>
            <w:tcW w:w="952" w:type="dxa"/>
            <w:tcBorders>
              <w:top w:val="nil"/>
              <w:left w:val="nil"/>
              <w:bottom w:val="single" w:sz="8" w:space="0" w:color="auto"/>
              <w:right w:val="single" w:sz="8" w:space="0" w:color="auto"/>
            </w:tcBorders>
            <w:shd w:val="clear" w:color="auto" w:fill="auto"/>
            <w:noWrap/>
            <w:vAlign w:val="center"/>
            <w:hideMark/>
          </w:tcPr>
          <w:p w14:paraId="749B08CB"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306.87</w:t>
            </w:r>
          </w:p>
        </w:tc>
        <w:tc>
          <w:tcPr>
            <w:tcW w:w="952" w:type="dxa"/>
            <w:tcBorders>
              <w:top w:val="nil"/>
              <w:left w:val="nil"/>
              <w:bottom w:val="single" w:sz="8" w:space="0" w:color="auto"/>
              <w:right w:val="single" w:sz="8" w:space="0" w:color="auto"/>
            </w:tcBorders>
            <w:shd w:val="clear" w:color="auto" w:fill="auto"/>
            <w:noWrap/>
            <w:vAlign w:val="center"/>
            <w:hideMark/>
          </w:tcPr>
          <w:p w14:paraId="7AAD4077"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51.16</w:t>
            </w:r>
          </w:p>
        </w:tc>
      </w:tr>
      <w:tr w:rsidR="009A409B" w:rsidRPr="001543D8" w14:paraId="7CCFD36F" w14:textId="77777777" w:rsidTr="006F197D">
        <w:trPr>
          <w:trHeight w:val="1068"/>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0B2320B" w14:textId="7C1B8047"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3</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4F368C63"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Nacionālsociālistiskajā režīmā cietušo personu rehabilitācija</w:t>
            </w:r>
          </w:p>
        </w:tc>
        <w:tc>
          <w:tcPr>
            <w:tcW w:w="1275" w:type="dxa"/>
            <w:tcBorders>
              <w:top w:val="nil"/>
              <w:left w:val="nil"/>
              <w:bottom w:val="single" w:sz="8" w:space="0" w:color="auto"/>
              <w:right w:val="single" w:sz="8" w:space="0" w:color="auto"/>
            </w:tcBorders>
            <w:shd w:val="clear" w:color="auto" w:fill="auto"/>
            <w:noWrap/>
            <w:vAlign w:val="center"/>
            <w:hideMark/>
          </w:tcPr>
          <w:p w14:paraId="7AB49B3D"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1895.02</w:t>
            </w:r>
          </w:p>
        </w:tc>
        <w:tc>
          <w:tcPr>
            <w:tcW w:w="1472" w:type="dxa"/>
            <w:tcBorders>
              <w:top w:val="nil"/>
              <w:left w:val="nil"/>
              <w:bottom w:val="single" w:sz="8" w:space="0" w:color="auto"/>
              <w:right w:val="single" w:sz="8" w:space="0" w:color="auto"/>
            </w:tcBorders>
            <w:shd w:val="clear" w:color="auto" w:fill="auto"/>
            <w:noWrap/>
            <w:vAlign w:val="center"/>
            <w:hideMark/>
          </w:tcPr>
          <w:p w14:paraId="7DB46054"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1776.48</w:t>
            </w:r>
          </w:p>
        </w:tc>
        <w:tc>
          <w:tcPr>
            <w:tcW w:w="1276" w:type="dxa"/>
            <w:tcBorders>
              <w:top w:val="nil"/>
              <w:left w:val="nil"/>
              <w:bottom w:val="single" w:sz="8" w:space="0" w:color="auto"/>
              <w:right w:val="single" w:sz="8" w:space="0" w:color="auto"/>
            </w:tcBorders>
            <w:shd w:val="clear" w:color="auto" w:fill="auto"/>
            <w:noWrap/>
            <w:vAlign w:val="center"/>
            <w:hideMark/>
          </w:tcPr>
          <w:p w14:paraId="0BE0696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1192.14</w:t>
            </w:r>
          </w:p>
        </w:tc>
        <w:tc>
          <w:tcPr>
            <w:tcW w:w="916" w:type="dxa"/>
            <w:tcBorders>
              <w:top w:val="nil"/>
              <w:left w:val="nil"/>
              <w:bottom w:val="single" w:sz="8" w:space="0" w:color="auto"/>
              <w:right w:val="single" w:sz="8" w:space="0" w:color="auto"/>
            </w:tcBorders>
            <w:shd w:val="clear" w:color="auto" w:fill="auto"/>
            <w:noWrap/>
            <w:vAlign w:val="center"/>
            <w:hideMark/>
          </w:tcPr>
          <w:p w14:paraId="3B37999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281.31</w:t>
            </w:r>
          </w:p>
        </w:tc>
        <w:tc>
          <w:tcPr>
            <w:tcW w:w="952" w:type="dxa"/>
            <w:tcBorders>
              <w:top w:val="nil"/>
              <w:left w:val="nil"/>
              <w:bottom w:val="single" w:sz="8" w:space="0" w:color="auto"/>
              <w:right w:val="single" w:sz="8" w:space="0" w:color="auto"/>
            </w:tcBorders>
            <w:shd w:val="clear" w:color="auto" w:fill="auto"/>
            <w:noWrap/>
            <w:vAlign w:val="center"/>
            <w:hideMark/>
          </w:tcPr>
          <w:p w14:paraId="5F0CDAA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259.98</w:t>
            </w:r>
          </w:p>
        </w:tc>
        <w:tc>
          <w:tcPr>
            <w:tcW w:w="952" w:type="dxa"/>
            <w:tcBorders>
              <w:top w:val="nil"/>
              <w:left w:val="nil"/>
              <w:bottom w:val="single" w:sz="8" w:space="0" w:color="auto"/>
              <w:right w:val="single" w:sz="8" w:space="0" w:color="auto"/>
            </w:tcBorders>
            <w:shd w:val="clear" w:color="auto" w:fill="auto"/>
            <w:noWrap/>
            <w:vAlign w:val="center"/>
            <w:hideMark/>
          </w:tcPr>
          <w:p w14:paraId="0B2DF2FF"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43.05</w:t>
            </w:r>
          </w:p>
        </w:tc>
      </w:tr>
      <w:tr w:rsidR="009A409B" w:rsidRPr="001543D8" w14:paraId="60266E66" w14:textId="77777777" w:rsidTr="006F197D">
        <w:trPr>
          <w:trHeight w:val="142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7FF9679" w14:textId="2705575C"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4</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633C8329"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gūžas locītavas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ar cementējamu endoprotēzi</w:t>
            </w:r>
          </w:p>
        </w:tc>
        <w:tc>
          <w:tcPr>
            <w:tcW w:w="1275" w:type="dxa"/>
            <w:tcBorders>
              <w:top w:val="nil"/>
              <w:left w:val="nil"/>
              <w:bottom w:val="single" w:sz="8" w:space="0" w:color="auto"/>
              <w:right w:val="single" w:sz="8" w:space="0" w:color="auto"/>
            </w:tcBorders>
            <w:shd w:val="clear" w:color="auto" w:fill="auto"/>
            <w:noWrap/>
            <w:vAlign w:val="center"/>
            <w:hideMark/>
          </w:tcPr>
          <w:p w14:paraId="2380A89E"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2 496.60 </w:t>
            </w:r>
          </w:p>
        </w:tc>
        <w:tc>
          <w:tcPr>
            <w:tcW w:w="1472" w:type="dxa"/>
            <w:tcBorders>
              <w:top w:val="nil"/>
              <w:left w:val="nil"/>
              <w:bottom w:val="single" w:sz="8" w:space="0" w:color="auto"/>
              <w:right w:val="single" w:sz="8" w:space="0" w:color="auto"/>
            </w:tcBorders>
            <w:shd w:val="clear" w:color="auto" w:fill="auto"/>
            <w:noWrap/>
            <w:vAlign w:val="center"/>
            <w:hideMark/>
          </w:tcPr>
          <w:p w14:paraId="19D17E62"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1 393.90 </w:t>
            </w:r>
          </w:p>
        </w:tc>
        <w:tc>
          <w:tcPr>
            <w:tcW w:w="1276" w:type="dxa"/>
            <w:tcBorders>
              <w:top w:val="nil"/>
              <w:left w:val="nil"/>
              <w:bottom w:val="single" w:sz="8" w:space="0" w:color="auto"/>
              <w:right w:val="single" w:sz="8" w:space="0" w:color="auto"/>
            </w:tcBorders>
            <w:shd w:val="clear" w:color="auto" w:fill="auto"/>
            <w:noWrap/>
            <w:vAlign w:val="center"/>
            <w:hideMark/>
          </w:tcPr>
          <w:p w14:paraId="14EA25EF"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926.39</w:t>
            </w:r>
          </w:p>
        </w:tc>
        <w:tc>
          <w:tcPr>
            <w:tcW w:w="916" w:type="dxa"/>
            <w:tcBorders>
              <w:top w:val="nil"/>
              <w:left w:val="nil"/>
              <w:bottom w:val="single" w:sz="8" w:space="0" w:color="auto"/>
              <w:right w:val="single" w:sz="8" w:space="0" w:color="auto"/>
            </w:tcBorders>
            <w:shd w:val="clear" w:color="auto" w:fill="auto"/>
            <w:noWrap/>
            <w:vAlign w:val="center"/>
            <w:hideMark/>
          </w:tcPr>
          <w:p w14:paraId="75BDFB5E"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218.55</w:t>
            </w:r>
          </w:p>
        </w:tc>
        <w:tc>
          <w:tcPr>
            <w:tcW w:w="952" w:type="dxa"/>
            <w:tcBorders>
              <w:top w:val="nil"/>
              <w:left w:val="nil"/>
              <w:bottom w:val="single" w:sz="8" w:space="0" w:color="auto"/>
              <w:right w:val="single" w:sz="8" w:space="0" w:color="auto"/>
            </w:tcBorders>
            <w:shd w:val="clear" w:color="auto" w:fill="auto"/>
            <w:noWrap/>
            <w:vAlign w:val="center"/>
            <w:hideMark/>
          </w:tcPr>
          <w:p w14:paraId="1461322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217.25</w:t>
            </w:r>
          </w:p>
        </w:tc>
        <w:tc>
          <w:tcPr>
            <w:tcW w:w="952" w:type="dxa"/>
            <w:tcBorders>
              <w:top w:val="nil"/>
              <w:left w:val="nil"/>
              <w:bottom w:val="single" w:sz="8" w:space="0" w:color="auto"/>
              <w:right w:val="single" w:sz="8" w:space="0" w:color="auto"/>
            </w:tcBorders>
            <w:shd w:val="clear" w:color="auto" w:fill="auto"/>
            <w:noWrap/>
            <w:vAlign w:val="center"/>
            <w:hideMark/>
          </w:tcPr>
          <w:p w14:paraId="6FCE808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31.71</w:t>
            </w:r>
          </w:p>
        </w:tc>
      </w:tr>
      <w:tr w:rsidR="009A409B" w:rsidRPr="001543D8" w14:paraId="2449BABE" w14:textId="77777777" w:rsidTr="006F197D">
        <w:trPr>
          <w:trHeight w:val="153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D661C7E" w14:textId="0D53FFF0"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5</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115FD4A9"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gūžas locītavas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ar </w:t>
            </w:r>
            <w:proofErr w:type="spellStart"/>
            <w:r w:rsidRPr="00791DEE">
              <w:rPr>
                <w:rFonts w:ascii="Times New Roman" w:eastAsia="Times New Roman" w:hAnsi="Times New Roman" w:cs="Times New Roman"/>
                <w:sz w:val="20"/>
                <w:szCs w:val="20"/>
                <w:lang w:val="lv-LV" w:eastAsia="lv-LV"/>
              </w:rPr>
              <w:t>bezcementa</w:t>
            </w:r>
            <w:proofErr w:type="spellEnd"/>
            <w:r w:rsidRPr="00791DEE">
              <w:rPr>
                <w:rFonts w:ascii="Times New Roman" w:eastAsia="Times New Roman" w:hAnsi="Times New Roman" w:cs="Times New Roman"/>
                <w:sz w:val="20"/>
                <w:szCs w:val="20"/>
                <w:lang w:val="lv-LV" w:eastAsia="lv-LV"/>
              </w:rPr>
              <w:t xml:space="preserve"> fiksācijas vai hibrīda tipa endoprotēzi</w:t>
            </w:r>
          </w:p>
        </w:tc>
        <w:tc>
          <w:tcPr>
            <w:tcW w:w="1275" w:type="dxa"/>
            <w:tcBorders>
              <w:top w:val="nil"/>
              <w:left w:val="nil"/>
              <w:bottom w:val="single" w:sz="8" w:space="0" w:color="auto"/>
              <w:right w:val="single" w:sz="8" w:space="0" w:color="auto"/>
            </w:tcBorders>
            <w:shd w:val="clear" w:color="auto" w:fill="auto"/>
            <w:noWrap/>
            <w:vAlign w:val="center"/>
            <w:hideMark/>
          </w:tcPr>
          <w:p w14:paraId="246E046E"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3084.42</w:t>
            </w:r>
          </w:p>
        </w:tc>
        <w:tc>
          <w:tcPr>
            <w:tcW w:w="1472" w:type="dxa"/>
            <w:tcBorders>
              <w:top w:val="nil"/>
              <w:left w:val="nil"/>
              <w:bottom w:val="single" w:sz="8" w:space="0" w:color="auto"/>
              <w:right w:val="single" w:sz="8" w:space="0" w:color="auto"/>
            </w:tcBorders>
            <w:shd w:val="clear" w:color="auto" w:fill="auto"/>
            <w:noWrap/>
            <w:vAlign w:val="center"/>
            <w:hideMark/>
          </w:tcPr>
          <w:p w14:paraId="2BACA9CF"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1174.83</w:t>
            </w:r>
          </w:p>
        </w:tc>
        <w:tc>
          <w:tcPr>
            <w:tcW w:w="1276" w:type="dxa"/>
            <w:tcBorders>
              <w:top w:val="nil"/>
              <w:left w:val="nil"/>
              <w:bottom w:val="single" w:sz="8" w:space="0" w:color="auto"/>
              <w:right w:val="single" w:sz="8" w:space="0" w:color="auto"/>
            </w:tcBorders>
            <w:shd w:val="clear" w:color="auto" w:fill="auto"/>
            <w:noWrap/>
            <w:vAlign w:val="center"/>
            <w:hideMark/>
          </w:tcPr>
          <w:p w14:paraId="19FB265F"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778.62</w:t>
            </w:r>
          </w:p>
        </w:tc>
        <w:tc>
          <w:tcPr>
            <w:tcW w:w="916" w:type="dxa"/>
            <w:tcBorders>
              <w:top w:val="nil"/>
              <w:left w:val="nil"/>
              <w:bottom w:val="single" w:sz="8" w:space="0" w:color="auto"/>
              <w:right w:val="single" w:sz="8" w:space="0" w:color="auto"/>
            </w:tcBorders>
            <w:shd w:val="clear" w:color="auto" w:fill="auto"/>
            <w:noWrap/>
            <w:vAlign w:val="center"/>
            <w:hideMark/>
          </w:tcPr>
          <w:p w14:paraId="52FBB884"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183.7</w:t>
            </w:r>
          </w:p>
        </w:tc>
        <w:tc>
          <w:tcPr>
            <w:tcW w:w="952" w:type="dxa"/>
            <w:tcBorders>
              <w:top w:val="nil"/>
              <w:left w:val="nil"/>
              <w:bottom w:val="single" w:sz="8" w:space="0" w:color="auto"/>
              <w:right w:val="single" w:sz="8" w:space="0" w:color="auto"/>
            </w:tcBorders>
            <w:shd w:val="clear" w:color="auto" w:fill="auto"/>
            <w:noWrap/>
            <w:vAlign w:val="center"/>
            <w:hideMark/>
          </w:tcPr>
          <w:p w14:paraId="1DE28E06"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186.29</w:t>
            </w:r>
          </w:p>
        </w:tc>
        <w:tc>
          <w:tcPr>
            <w:tcW w:w="952" w:type="dxa"/>
            <w:tcBorders>
              <w:top w:val="nil"/>
              <w:left w:val="nil"/>
              <w:bottom w:val="single" w:sz="8" w:space="0" w:color="auto"/>
              <w:right w:val="single" w:sz="8" w:space="0" w:color="auto"/>
            </w:tcBorders>
            <w:shd w:val="clear" w:color="auto" w:fill="auto"/>
            <w:noWrap/>
            <w:vAlign w:val="center"/>
            <w:hideMark/>
          </w:tcPr>
          <w:p w14:paraId="176F4F81"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26.22</w:t>
            </w:r>
          </w:p>
        </w:tc>
      </w:tr>
      <w:tr w:rsidR="009A409B" w:rsidRPr="001543D8" w14:paraId="02177281" w14:textId="77777777" w:rsidTr="006F197D">
        <w:trPr>
          <w:trHeight w:val="117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B8DCB50" w14:textId="2C2C8833"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6</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49BD900F"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ceļa locītavas </w:t>
            </w:r>
            <w:proofErr w:type="spellStart"/>
            <w:r w:rsidRPr="00791DEE">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084C5AAE"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3234.63</w:t>
            </w:r>
          </w:p>
        </w:tc>
        <w:tc>
          <w:tcPr>
            <w:tcW w:w="1472" w:type="dxa"/>
            <w:tcBorders>
              <w:top w:val="nil"/>
              <w:left w:val="nil"/>
              <w:bottom w:val="single" w:sz="8" w:space="0" w:color="auto"/>
              <w:right w:val="single" w:sz="8" w:space="0" w:color="auto"/>
            </w:tcBorders>
            <w:shd w:val="clear" w:color="auto" w:fill="auto"/>
            <w:noWrap/>
            <w:vAlign w:val="center"/>
            <w:hideMark/>
          </w:tcPr>
          <w:p w14:paraId="743F86C5"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1 534.01   </w:t>
            </w:r>
          </w:p>
        </w:tc>
        <w:tc>
          <w:tcPr>
            <w:tcW w:w="1276" w:type="dxa"/>
            <w:tcBorders>
              <w:top w:val="nil"/>
              <w:left w:val="nil"/>
              <w:bottom w:val="single" w:sz="8" w:space="0" w:color="auto"/>
              <w:right w:val="single" w:sz="8" w:space="0" w:color="auto"/>
            </w:tcBorders>
            <w:shd w:val="clear" w:color="auto" w:fill="auto"/>
            <w:noWrap/>
            <w:vAlign w:val="center"/>
            <w:hideMark/>
          </w:tcPr>
          <w:p w14:paraId="4422314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1 018.71 </w:t>
            </w:r>
          </w:p>
        </w:tc>
        <w:tc>
          <w:tcPr>
            <w:tcW w:w="916" w:type="dxa"/>
            <w:tcBorders>
              <w:top w:val="nil"/>
              <w:left w:val="nil"/>
              <w:bottom w:val="single" w:sz="8" w:space="0" w:color="auto"/>
              <w:right w:val="single" w:sz="8" w:space="0" w:color="auto"/>
            </w:tcBorders>
            <w:shd w:val="clear" w:color="auto" w:fill="auto"/>
            <w:noWrap/>
            <w:vAlign w:val="center"/>
            <w:hideMark/>
          </w:tcPr>
          <w:p w14:paraId="6ECA02A7"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240.34 </w:t>
            </w:r>
          </w:p>
        </w:tc>
        <w:tc>
          <w:tcPr>
            <w:tcW w:w="952" w:type="dxa"/>
            <w:tcBorders>
              <w:top w:val="nil"/>
              <w:left w:val="nil"/>
              <w:bottom w:val="single" w:sz="8" w:space="0" w:color="auto"/>
              <w:right w:val="single" w:sz="8" w:space="0" w:color="auto"/>
            </w:tcBorders>
            <w:shd w:val="clear" w:color="auto" w:fill="auto"/>
            <w:noWrap/>
            <w:vAlign w:val="center"/>
            <w:hideMark/>
          </w:tcPr>
          <w:p w14:paraId="56D4BCE6"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240.20 </w:t>
            </w:r>
          </w:p>
        </w:tc>
        <w:tc>
          <w:tcPr>
            <w:tcW w:w="952" w:type="dxa"/>
            <w:tcBorders>
              <w:top w:val="nil"/>
              <w:left w:val="nil"/>
              <w:bottom w:val="single" w:sz="8" w:space="0" w:color="auto"/>
              <w:right w:val="single" w:sz="8" w:space="0" w:color="auto"/>
            </w:tcBorders>
            <w:shd w:val="clear" w:color="auto" w:fill="auto"/>
            <w:noWrap/>
            <w:vAlign w:val="center"/>
            <w:hideMark/>
          </w:tcPr>
          <w:p w14:paraId="3A5FA3B0"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34.76 </w:t>
            </w:r>
          </w:p>
        </w:tc>
      </w:tr>
      <w:tr w:rsidR="009A409B" w:rsidRPr="001543D8" w14:paraId="1C3BC617" w14:textId="77777777" w:rsidTr="006F197D">
        <w:trPr>
          <w:trHeight w:val="111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589070FD" w14:textId="4ABFB774"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7</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384B879C"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plecu locītavas </w:t>
            </w:r>
            <w:proofErr w:type="spellStart"/>
            <w:r w:rsidRPr="00791DEE">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449E3327"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4278.04</w:t>
            </w:r>
          </w:p>
        </w:tc>
        <w:tc>
          <w:tcPr>
            <w:tcW w:w="1472" w:type="dxa"/>
            <w:tcBorders>
              <w:top w:val="nil"/>
              <w:left w:val="nil"/>
              <w:bottom w:val="single" w:sz="8" w:space="0" w:color="auto"/>
              <w:right w:val="single" w:sz="8" w:space="0" w:color="auto"/>
            </w:tcBorders>
            <w:shd w:val="clear" w:color="auto" w:fill="auto"/>
            <w:noWrap/>
            <w:vAlign w:val="center"/>
            <w:hideMark/>
          </w:tcPr>
          <w:p w14:paraId="041D43F3"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1 529.12   </w:t>
            </w:r>
          </w:p>
        </w:tc>
        <w:tc>
          <w:tcPr>
            <w:tcW w:w="1276" w:type="dxa"/>
            <w:tcBorders>
              <w:top w:val="nil"/>
              <w:left w:val="nil"/>
              <w:bottom w:val="single" w:sz="8" w:space="0" w:color="auto"/>
              <w:right w:val="single" w:sz="8" w:space="0" w:color="auto"/>
            </w:tcBorders>
            <w:shd w:val="clear" w:color="auto" w:fill="auto"/>
            <w:noWrap/>
            <w:vAlign w:val="center"/>
            <w:hideMark/>
          </w:tcPr>
          <w:p w14:paraId="71C48084"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1 002.70 </w:t>
            </w:r>
          </w:p>
        </w:tc>
        <w:tc>
          <w:tcPr>
            <w:tcW w:w="916" w:type="dxa"/>
            <w:tcBorders>
              <w:top w:val="nil"/>
              <w:left w:val="nil"/>
              <w:bottom w:val="single" w:sz="8" w:space="0" w:color="auto"/>
              <w:right w:val="single" w:sz="8" w:space="0" w:color="auto"/>
            </w:tcBorders>
            <w:shd w:val="clear" w:color="auto" w:fill="auto"/>
            <w:noWrap/>
            <w:vAlign w:val="center"/>
            <w:hideMark/>
          </w:tcPr>
          <w:p w14:paraId="1A832D7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236.55 </w:t>
            </w:r>
          </w:p>
        </w:tc>
        <w:tc>
          <w:tcPr>
            <w:tcW w:w="952" w:type="dxa"/>
            <w:tcBorders>
              <w:top w:val="nil"/>
              <w:left w:val="nil"/>
              <w:bottom w:val="single" w:sz="8" w:space="0" w:color="auto"/>
              <w:right w:val="single" w:sz="8" w:space="0" w:color="auto"/>
            </w:tcBorders>
            <w:shd w:val="clear" w:color="auto" w:fill="auto"/>
            <w:noWrap/>
            <w:vAlign w:val="center"/>
            <w:hideMark/>
          </w:tcPr>
          <w:p w14:paraId="3574A65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258.17 </w:t>
            </w:r>
          </w:p>
        </w:tc>
        <w:tc>
          <w:tcPr>
            <w:tcW w:w="952" w:type="dxa"/>
            <w:tcBorders>
              <w:top w:val="nil"/>
              <w:left w:val="nil"/>
              <w:bottom w:val="single" w:sz="8" w:space="0" w:color="auto"/>
              <w:right w:val="single" w:sz="8" w:space="0" w:color="auto"/>
            </w:tcBorders>
            <w:shd w:val="clear" w:color="auto" w:fill="auto"/>
            <w:noWrap/>
            <w:vAlign w:val="center"/>
            <w:hideMark/>
          </w:tcPr>
          <w:p w14:paraId="571D5B13"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31.70 </w:t>
            </w:r>
          </w:p>
        </w:tc>
      </w:tr>
      <w:tr w:rsidR="009A409B" w:rsidRPr="001543D8" w14:paraId="01D0D1C5" w14:textId="77777777" w:rsidTr="006F197D">
        <w:trPr>
          <w:trHeight w:val="153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C2B2032" w14:textId="72E9FB86"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lastRenderedPageBreak/>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8</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5D7EEEB6"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elkoņa locītavas daļēja (</w:t>
            </w:r>
            <w:proofErr w:type="spellStart"/>
            <w:r w:rsidRPr="00791DEE">
              <w:rPr>
                <w:rFonts w:ascii="Times New Roman" w:eastAsia="Times New Roman" w:hAnsi="Times New Roman" w:cs="Times New Roman"/>
                <w:sz w:val="20"/>
                <w:szCs w:val="20"/>
                <w:lang w:val="lv-LV" w:eastAsia="lv-LV"/>
              </w:rPr>
              <w:t>radija</w:t>
            </w:r>
            <w:proofErr w:type="spellEnd"/>
            <w:r w:rsidRPr="00791DEE">
              <w:rPr>
                <w:rFonts w:ascii="Times New Roman" w:eastAsia="Times New Roman" w:hAnsi="Times New Roman" w:cs="Times New Roman"/>
                <w:sz w:val="20"/>
                <w:szCs w:val="20"/>
                <w:lang w:val="lv-LV" w:eastAsia="lv-LV"/>
              </w:rPr>
              <w:t xml:space="preserve"> galviņas) </w:t>
            </w:r>
            <w:proofErr w:type="spellStart"/>
            <w:r w:rsidRPr="00791DEE">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6998A012"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2574.86</w:t>
            </w:r>
          </w:p>
        </w:tc>
        <w:tc>
          <w:tcPr>
            <w:tcW w:w="1472" w:type="dxa"/>
            <w:tcBorders>
              <w:top w:val="nil"/>
              <w:left w:val="nil"/>
              <w:bottom w:val="single" w:sz="8" w:space="0" w:color="auto"/>
              <w:right w:val="single" w:sz="8" w:space="0" w:color="auto"/>
            </w:tcBorders>
            <w:shd w:val="clear" w:color="auto" w:fill="auto"/>
            <w:noWrap/>
            <w:vAlign w:val="center"/>
            <w:hideMark/>
          </w:tcPr>
          <w:p w14:paraId="1F41B838"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1451.69</w:t>
            </w:r>
          </w:p>
        </w:tc>
        <w:tc>
          <w:tcPr>
            <w:tcW w:w="1276" w:type="dxa"/>
            <w:tcBorders>
              <w:top w:val="nil"/>
              <w:left w:val="nil"/>
              <w:bottom w:val="single" w:sz="8" w:space="0" w:color="auto"/>
              <w:right w:val="single" w:sz="8" w:space="0" w:color="auto"/>
            </w:tcBorders>
            <w:shd w:val="clear" w:color="auto" w:fill="auto"/>
            <w:noWrap/>
            <w:vAlign w:val="center"/>
            <w:hideMark/>
          </w:tcPr>
          <w:p w14:paraId="3745027A"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950.73</w:t>
            </w:r>
          </w:p>
        </w:tc>
        <w:tc>
          <w:tcPr>
            <w:tcW w:w="916" w:type="dxa"/>
            <w:tcBorders>
              <w:top w:val="nil"/>
              <w:left w:val="nil"/>
              <w:bottom w:val="single" w:sz="8" w:space="0" w:color="auto"/>
              <w:right w:val="single" w:sz="8" w:space="0" w:color="auto"/>
            </w:tcBorders>
            <w:shd w:val="clear" w:color="auto" w:fill="auto"/>
            <w:noWrap/>
            <w:vAlign w:val="center"/>
            <w:hideMark/>
          </w:tcPr>
          <w:p w14:paraId="6D7CDCC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224.28</w:t>
            </w:r>
          </w:p>
        </w:tc>
        <w:tc>
          <w:tcPr>
            <w:tcW w:w="952" w:type="dxa"/>
            <w:tcBorders>
              <w:top w:val="nil"/>
              <w:left w:val="nil"/>
              <w:bottom w:val="single" w:sz="8" w:space="0" w:color="auto"/>
              <w:right w:val="single" w:sz="8" w:space="0" w:color="auto"/>
            </w:tcBorders>
            <w:shd w:val="clear" w:color="auto" w:fill="auto"/>
            <w:noWrap/>
            <w:vAlign w:val="center"/>
            <w:hideMark/>
          </w:tcPr>
          <w:p w14:paraId="6A2DE188"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246.86</w:t>
            </w:r>
          </w:p>
        </w:tc>
        <w:tc>
          <w:tcPr>
            <w:tcW w:w="952" w:type="dxa"/>
            <w:tcBorders>
              <w:top w:val="nil"/>
              <w:left w:val="nil"/>
              <w:bottom w:val="single" w:sz="8" w:space="0" w:color="auto"/>
              <w:right w:val="single" w:sz="8" w:space="0" w:color="auto"/>
            </w:tcBorders>
            <w:shd w:val="clear" w:color="auto" w:fill="auto"/>
            <w:noWrap/>
            <w:vAlign w:val="center"/>
            <w:hideMark/>
          </w:tcPr>
          <w:p w14:paraId="7D31FD56"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29.82</w:t>
            </w:r>
          </w:p>
        </w:tc>
      </w:tr>
      <w:tr w:rsidR="009A409B" w:rsidRPr="001543D8" w14:paraId="4E066983" w14:textId="77777777" w:rsidTr="006F197D">
        <w:trPr>
          <w:trHeight w:val="1332"/>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430C1A0E" w14:textId="4139EE72"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w:t>
            </w:r>
            <w:r w:rsidR="007A3A39">
              <w:rPr>
                <w:rFonts w:ascii="Times New Roman" w:eastAsia="Times New Roman" w:hAnsi="Times New Roman" w:cs="Times New Roman"/>
                <w:sz w:val="20"/>
                <w:szCs w:val="20"/>
                <w:lang w:val="lv-LV" w:eastAsia="lv-LV"/>
              </w:rPr>
              <w:t>5.5</w:t>
            </w:r>
            <w:r w:rsidR="006F197D">
              <w:rPr>
                <w:rFonts w:ascii="Times New Roman" w:eastAsia="Times New Roman" w:hAnsi="Times New Roman" w:cs="Times New Roman"/>
                <w:sz w:val="20"/>
                <w:szCs w:val="20"/>
                <w:lang w:val="lv-LV" w:eastAsia="lv-LV"/>
              </w:rPr>
              <w:t>.9.</w:t>
            </w:r>
          </w:p>
        </w:tc>
        <w:tc>
          <w:tcPr>
            <w:tcW w:w="2060" w:type="dxa"/>
            <w:tcBorders>
              <w:top w:val="nil"/>
              <w:left w:val="nil"/>
              <w:bottom w:val="single" w:sz="8" w:space="0" w:color="auto"/>
              <w:right w:val="single" w:sz="8" w:space="0" w:color="auto"/>
            </w:tcBorders>
            <w:shd w:val="clear" w:color="auto" w:fill="auto"/>
            <w:vAlign w:val="center"/>
            <w:hideMark/>
          </w:tcPr>
          <w:p w14:paraId="42505A5D"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elkoņa locītavas totālā </w:t>
            </w:r>
            <w:proofErr w:type="spellStart"/>
            <w:r w:rsidRPr="00791DEE">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1FA77302"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5404.03</w:t>
            </w:r>
          </w:p>
        </w:tc>
        <w:tc>
          <w:tcPr>
            <w:tcW w:w="1472" w:type="dxa"/>
            <w:tcBorders>
              <w:top w:val="nil"/>
              <w:left w:val="nil"/>
              <w:bottom w:val="single" w:sz="8" w:space="0" w:color="auto"/>
              <w:right w:val="single" w:sz="8" w:space="0" w:color="auto"/>
            </w:tcBorders>
            <w:shd w:val="clear" w:color="auto" w:fill="auto"/>
            <w:noWrap/>
            <w:vAlign w:val="center"/>
            <w:hideMark/>
          </w:tcPr>
          <w:p w14:paraId="75F3E9AB"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2095.17</w:t>
            </w:r>
          </w:p>
        </w:tc>
        <w:tc>
          <w:tcPr>
            <w:tcW w:w="1276" w:type="dxa"/>
            <w:tcBorders>
              <w:top w:val="nil"/>
              <w:left w:val="nil"/>
              <w:bottom w:val="single" w:sz="8" w:space="0" w:color="auto"/>
              <w:right w:val="single" w:sz="8" w:space="0" w:color="auto"/>
            </w:tcBorders>
            <w:shd w:val="clear" w:color="auto" w:fill="auto"/>
            <w:noWrap/>
            <w:vAlign w:val="center"/>
            <w:hideMark/>
          </w:tcPr>
          <w:p w14:paraId="29582C13"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1373.79</w:t>
            </w:r>
          </w:p>
        </w:tc>
        <w:tc>
          <w:tcPr>
            <w:tcW w:w="916" w:type="dxa"/>
            <w:tcBorders>
              <w:top w:val="nil"/>
              <w:left w:val="nil"/>
              <w:bottom w:val="single" w:sz="8" w:space="0" w:color="auto"/>
              <w:right w:val="single" w:sz="8" w:space="0" w:color="auto"/>
            </w:tcBorders>
            <w:shd w:val="clear" w:color="auto" w:fill="auto"/>
            <w:noWrap/>
            <w:vAlign w:val="center"/>
            <w:hideMark/>
          </w:tcPr>
          <w:p w14:paraId="369F9E8F"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324.1</w:t>
            </w:r>
          </w:p>
        </w:tc>
        <w:tc>
          <w:tcPr>
            <w:tcW w:w="952" w:type="dxa"/>
            <w:tcBorders>
              <w:top w:val="nil"/>
              <w:left w:val="nil"/>
              <w:bottom w:val="single" w:sz="8" w:space="0" w:color="auto"/>
              <w:right w:val="single" w:sz="8" w:space="0" w:color="auto"/>
            </w:tcBorders>
            <w:shd w:val="clear" w:color="auto" w:fill="auto"/>
            <w:noWrap/>
            <w:vAlign w:val="center"/>
            <w:hideMark/>
          </w:tcPr>
          <w:p w14:paraId="24929CA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353.87</w:t>
            </w:r>
          </w:p>
        </w:tc>
        <w:tc>
          <w:tcPr>
            <w:tcW w:w="952" w:type="dxa"/>
            <w:tcBorders>
              <w:top w:val="nil"/>
              <w:left w:val="nil"/>
              <w:bottom w:val="single" w:sz="8" w:space="0" w:color="auto"/>
              <w:right w:val="single" w:sz="8" w:space="0" w:color="auto"/>
            </w:tcBorders>
            <w:shd w:val="clear" w:color="auto" w:fill="auto"/>
            <w:noWrap/>
            <w:vAlign w:val="center"/>
            <w:hideMark/>
          </w:tcPr>
          <w:p w14:paraId="278FADAC"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43.41</w:t>
            </w:r>
          </w:p>
        </w:tc>
      </w:tr>
      <w:tr w:rsidR="009A409B" w:rsidRPr="001543D8" w14:paraId="40F851E4" w14:textId="77777777" w:rsidTr="006F197D">
        <w:trPr>
          <w:trHeight w:val="1681"/>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670AB21C" w14:textId="76DE9F10"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10</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205FCF1D"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gūžas locītavas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ar cementējamu endoprotēzi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16995771"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2552.38</w:t>
            </w:r>
          </w:p>
        </w:tc>
        <w:tc>
          <w:tcPr>
            <w:tcW w:w="1472" w:type="dxa"/>
            <w:tcBorders>
              <w:top w:val="nil"/>
              <w:left w:val="nil"/>
              <w:bottom w:val="single" w:sz="8" w:space="0" w:color="auto"/>
              <w:right w:val="single" w:sz="8" w:space="0" w:color="auto"/>
            </w:tcBorders>
            <w:shd w:val="clear" w:color="auto" w:fill="auto"/>
            <w:noWrap/>
            <w:vAlign w:val="center"/>
            <w:hideMark/>
          </w:tcPr>
          <w:p w14:paraId="13BC3D9B"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1 343.00 </w:t>
            </w:r>
          </w:p>
        </w:tc>
        <w:tc>
          <w:tcPr>
            <w:tcW w:w="1276" w:type="dxa"/>
            <w:tcBorders>
              <w:top w:val="nil"/>
              <w:left w:val="nil"/>
              <w:bottom w:val="single" w:sz="8" w:space="0" w:color="auto"/>
              <w:right w:val="single" w:sz="8" w:space="0" w:color="auto"/>
            </w:tcBorders>
            <w:shd w:val="clear" w:color="auto" w:fill="auto"/>
            <w:noWrap/>
            <w:vAlign w:val="center"/>
            <w:hideMark/>
          </w:tcPr>
          <w:p w14:paraId="37941596"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891.02</w:t>
            </w:r>
          </w:p>
        </w:tc>
        <w:tc>
          <w:tcPr>
            <w:tcW w:w="916" w:type="dxa"/>
            <w:tcBorders>
              <w:top w:val="nil"/>
              <w:left w:val="nil"/>
              <w:bottom w:val="single" w:sz="8" w:space="0" w:color="auto"/>
              <w:right w:val="single" w:sz="8" w:space="0" w:color="auto"/>
            </w:tcBorders>
            <w:shd w:val="clear" w:color="auto" w:fill="auto"/>
            <w:noWrap/>
            <w:vAlign w:val="center"/>
            <w:hideMark/>
          </w:tcPr>
          <w:p w14:paraId="470CF0C3"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210.21</w:t>
            </w:r>
          </w:p>
        </w:tc>
        <w:tc>
          <w:tcPr>
            <w:tcW w:w="952" w:type="dxa"/>
            <w:tcBorders>
              <w:top w:val="nil"/>
              <w:left w:val="nil"/>
              <w:bottom w:val="single" w:sz="8" w:space="0" w:color="auto"/>
              <w:right w:val="single" w:sz="8" w:space="0" w:color="auto"/>
            </w:tcBorders>
            <w:shd w:val="clear" w:color="auto" w:fill="auto"/>
            <w:noWrap/>
            <w:vAlign w:val="center"/>
            <w:hideMark/>
          </w:tcPr>
          <w:p w14:paraId="567D3770"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211.54</w:t>
            </w:r>
          </w:p>
        </w:tc>
        <w:tc>
          <w:tcPr>
            <w:tcW w:w="952" w:type="dxa"/>
            <w:tcBorders>
              <w:top w:val="nil"/>
              <w:left w:val="nil"/>
              <w:bottom w:val="single" w:sz="8" w:space="0" w:color="auto"/>
              <w:right w:val="single" w:sz="8" w:space="0" w:color="auto"/>
            </w:tcBorders>
            <w:shd w:val="clear" w:color="auto" w:fill="auto"/>
            <w:noWrap/>
            <w:vAlign w:val="center"/>
            <w:hideMark/>
          </w:tcPr>
          <w:p w14:paraId="1CC4B249"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30.23</w:t>
            </w:r>
          </w:p>
        </w:tc>
      </w:tr>
      <w:tr w:rsidR="009A409B" w:rsidRPr="001543D8" w14:paraId="2FEBA6FB" w14:textId="77777777" w:rsidTr="006F197D">
        <w:trPr>
          <w:trHeight w:val="1846"/>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16A7A96" w14:textId="131143F6" w:rsidR="009A409B" w:rsidRPr="00791DEE"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791DEE">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11</w:t>
            </w:r>
            <w:r w:rsidR="009A409B" w:rsidRPr="00791DEE">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3CED8F67" w14:textId="77777777" w:rsidR="009A409B" w:rsidRPr="00791DEE" w:rsidRDefault="009A409B" w:rsidP="009A409B">
            <w:pPr>
              <w:spacing w:after="0" w:line="240" w:lineRule="auto"/>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Lielo locītavu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tai skaitā, gūžas locītavas </w:t>
            </w:r>
            <w:proofErr w:type="spellStart"/>
            <w:r w:rsidRPr="00791DEE">
              <w:rPr>
                <w:rFonts w:ascii="Times New Roman" w:eastAsia="Times New Roman" w:hAnsi="Times New Roman" w:cs="Times New Roman"/>
                <w:sz w:val="20"/>
                <w:szCs w:val="20"/>
                <w:lang w:val="lv-LV" w:eastAsia="lv-LV"/>
              </w:rPr>
              <w:t>endoprotezēšana</w:t>
            </w:r>
            <w:proofErr w:type="spellEnd"/>
            <w:r w:rsidRPr="00791DEE">
              <w:rPr>
                <w:rFonts w:ascii="Times New Roman" w:eastAsia="Times New Roman" w:hAnsi="Times New Roman" w:cs="Times New Roman"/>
                <w:sz w:val="20"/>
                <w:szCs w:val="20"/>
                <w:lang w:val="lv-LV" w:eastAsia="lv-LV"/>
              </w:rPr>
              <w:t xml:space="preserve"> ar </w:t>
            </w:r>
            <w:proofErr w:type="spellStart"/>
            <w:r w:rsidRPr="00791DEE">
              <w:rPr>
                <w:rFonts w:ascii="Times New Roman" w:eastAsia="Times New Roman" w:hAnsi="Times New Roman" w:cs="Times New Roman"/>
                <w:sz w:val="20"/>
                <w:szCs w:val="20"/>
                <w:lang w:val="lv-LV" w:eastAsia="lv-LV"/>
              </w:rPr>
              <w:t>bezcementa</w:t>
            </w:r>
            <w:proofErr w:type="spellEnd"/>
            <w:r w:rsidRPr="00791DEE">
              <w:rPr>
                <w:rFonts w:ascii="Times New Roman" w:eastAsia="Times New Roman" w:hAnsi="Times New Roman" w:cs="Times New Roman"/>
                <w:sz w:val="20"/>
                <w:szCs w:val="20"/>
                <w:lang w:val="lv-LV" w:eastAsia="lv-LV"/>
              </w:rPr>
              <w:t xml:space="preserve"> fiksācijas vai hibrīda tipa endoprotēzi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00A34421"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3 267.40 </w:t>
            </w:r>
          </w:p>
        </w:tc>
        <w:tc>
          <w:tcPr>
            <w:tcW w:w="1472" w:type="dxa"/>
            <w:tcBorders>
              <w:top w:val="nil"/>
              <w:left w:val="nil"/>
              <w:bottom w:val="single" w:sz="8" w:space="0" w:color="auto"/>
              <w:right w:val="single" w:sz="8" w:space="0" w:color="auto"/>
            </w:tcBorders>
            <w:shd w:val="clear" w:color="auto" w:fill="auto"/>
            <w:noWrap/>
            <w:vAlign w:val="center"/>
            <w:hideMark/>
          </w:tcPr>
          <w:p w14:paraId="12795413" w14:textId="77777777" w:rsidR="009A409B" w:rsidRPr="00791DEE"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791DEE">
              <w:rPr>
                <w:rFonts w:ascii="Times New Roman" w:eastAsia="Times New Roman" w:hAnsi="Times New Roman" w:cs="Times New Roman"/>
                <w:b/>
                <w:bCs/>
                <w:sz w:val="20"/>
                <w:szCs w:val="20"/>
                <w:lang w:val="lv-LV" w:eastAsia="lv-LV"/>
              </w:rPr>
              <w:t xml:space="preserve">   1 385.29   </w:t>
            </w:r>
          </w:p>
        </w:tc>
        <w:tc>
          <w:tcPr>
            <w:tcW w:w="1276" w:type="dxa"/>
            <w:tcBorders>
              <w:top w:val="nil"/>
              <w:left w:val="nil"/>
              <w:bottom w:val="single" w:sz="8" w:space="0" w:color="auto"/>
              <w:right w:val="single" w:sz="8" w:space="0" w:color="auto"/>
            </w:tcBorders>
            <w:shd w:val="clear" w:color="auto" w:fill="auto"/>
            <w:noWrap/>
            <w:vAlign w:val="center"/>
            <w:hideMark/>
          </w:tcPr>
          <w:p w14:paraId="539B0537"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917.01</w:t>
            </w:r>
          </w:p>
        </w:tc>
        <w:tc>
          <w:tcPr>
            <w:tcW w:w="916" w:type="dxa"/>
            <w:tcBorders>
              <w:top w:val="nil"/>
              <w:left w:val="nil"/>
              <w:bottom w:val="single" w:sz="8" w:space="0" w:color="auto"/>
              <w:right w:val="single" w:sz="8" w:space="0" w:color="auto"/>
            </w:tcBorders>
            <w:shd w:val="clear" w:color="auto" w:fill="auto"/>
            <w:noWrap/>
            <w:vAlign w:val="center"/>
            <w:hideMark/>
          </w:tcPr>
          <w:p w14:paraId="7D23E9AE"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216.35</w:t>
            </w:r>
          </w:p>
        </w:tc>
        <w:tc>
          <w:tcPr>
            <w:tcW w:w="952" w:type="dxa"/>
            <w:tcBorders>
              <w:top w:val="nil"/>
              <w:left w:val="nil"/>
              <w:bottom w:val="single" w:sz="8" w:space="0" w:color="auto"/>
              <w:right w:val="single" w:sz="8" w:space="0" w:color="auto"/>
            </w:tcBorders>
            <w:shd w:val="clear" w:color="auto" w:fill="auto"/>
            <w:noWrap/>
            <w:vAlign w:val="center"/>
            <w:hideMark/>
          </w:tcPr>
          <w:p w14:paraId="65C8A082"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221.23</w:t>
            </w:r>
          </w:p>
        </w:tc>
        <w:tc>
          <w:tcPr>
            <w:tcW w:w="952" w:type="dxa"/>
            <w:tcBorders>
              <w:top w:val="nil"/>
              <w:left w:val="nil"/>
              <w:bottom w:val="single" w:sz="8" w:space="0" w:color="auto"/>
              <w:right w:val="single" w:sz="8" w:space="0" w:color="auto"/>
            </w:tcBorders>
            <w:shd w:val="clear" w:color="auto" w:fill="auto"/>
            <w:noWrap/>
            <w:vAlign w:val="center"/>
            <w:hideMark/>
          </w:tcPr>
          <w:p w14:paraId="5CC2956F" w14:textId="77777777" w:rsidR="009A409B" w:rsidRPr="00791DEE" w:rsidRDefault="009A409B" w:rsidP="009A409B">
            <w:pPr>
              <w:spacing w:after="0" w:line="240" w:lineRule="auto"/>
              <w:jc w:val="right"/>
              <w:rPr>
                <w:rFonts w:ascii="Times New Roman" w:eastAsia="Times New Roman" w:hAnsi="Times New Roman" w:cs="Times New Roman"/>
                <w:sz w:val="20"/>
                <w:szCs w:val="20"/>
                <w:lang w:val="lv-LV" w:eastAsia="lv-LV"/>
              </w:rPr>
            </w:pPr>
            <w:r w:rsidRPr="00791DEE">
              <w:rPr>
                <w:rFonts w:ascii="Times New Roman" w:eastAsia="Times New Roman" w:hAnsi="Times New Roman" w:cs="Times New Roman"/>
                <w:sz w:val="20"/>
                <w:szCs w:val="20"/>
                <w:lang w:val="lv-LV" w:eastAsia="lv-LV"/>
              </w:rPr>
              <w:t xml:space="preserve">       30.70 </w:t>
            </w:r>
          </w:p>
        </w:tc>
      </w:tr>
      <w:tr w:rsidR="009A409B" w:rsidRPr="001122AF" w14:paraId="15A8E75F" w14:textId="77777777" w:rsidTr="006F197D">
        <w:trPr>
          <w:trHeight w:val="124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7E71B4FC" w14:textId="3BE38932"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.1</w:t>
            </w:r>
            <w:r w:rsidR="006F197D">
              <w:rPr>
                <w:rFonts w:ascii="Times New Roman" w:eastAsia="Times New Roman" w:hAnsi="Times New Roman" w:cs="Times New Roman"/>
                <w:sz w:val="20"/>
                <w:szCs w:val="20"/>
                <w:lang w:val="lv-LV" w:eastAsia="lv-LV"/>
              </w:rPr>
              <w:t>2</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6B392486"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Lielo locītavu </w:t>
            </w:r>
            <w:proofErr w:type="spellStart"/>
            <w:r w:rsidRPr="001122AF">
              <w:rPr>
                <w:rFonts w:ascii="Times New Roman" w:eastAsia="Times New Roman" w:hAnsi="Times New Roman" w:cs="Times New Roman"/>
                <w:sz w:val="20"/>
                <w:szCs w:val="20"/>
                <w:lang w:val="lv-LV" w:eastAsia="lv-LV"/>
              </w:rPr>
              <w:t>endoprotezēšana</w:t>
            </w:r>
            <w:proofErr w:type="spellEnd"/>
            <w:r w:rsidRPr="001122AF">
              <w:rPr>
                <w:rFonts w:ascii="Times New Roman" w:eastAsia="Times New Roman" w:hAnsi="Times New Roman" w:cs="Times New Roman"/>
                <w:sz w:val="20"/>
                <w:szCs w:val="20"/>
                <w:lang w:val="lv-LV" w:eastAsia="lv-LV"/>
              </w:rPr>
              <w:t xml:space="preserve"> tai skaitā, ceļa locītavas </w:t>
            </w:r>
            <w:proofErr w:type="spellStart"/>
            <w:r w:rsidRPr="001122AF">
              <w:rPr>
                <w:rFonts w:ascii="Times New Roman" w:eastAsia="Times New Roman" w:hAnsi="Times New Roman" w:cs="Times New Roman"/>
                <w:sz w:val="20"/>
                <w:szCs w:val="20"/>
                <w:lang w:val="lv-LV" w:eastAsia="lv-LV"/>
              </w:rPr>
              <w:t>endoprotezēšana</w:t>
            </w:r>
            <w:proofErr w:type="spellEnd"/>
            <w:r w:rsidRPr="001122AF">
              <w:rPr>
                <w:rFonts w:ascii="Times New Roman" w:eastAsia="Times New Roman" w:hAnsi="Times New Roman" w:cs="Times New Roman"/>
                <w:sz w:val="20"/>
                <w:szCs w:val="20"/>
                <w:lang w:val="lv-LV" w:eastAsia="lv-LV"/>
              </w:rPr>
              <w:t xml:space="preserve">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0A3B27FD"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4610.76</w:t>
            </w:r>
          </w:p>
        </w:tc>
        <w:tc>
          <w:tcPr>
            <w:tcW w:w="1472" w:type="dxa"/>
            <w:tcBorders>
              <w:top w:val="nil"/>
              <w:left w:val="nil"/>
              <w:bottom w:val="single" w:sz="8" w:space="0" w:color="auto"/>
              <w:right w:val="single" w:sz="8" w:space="0" w:color="auto"/>
            </w:tcBorders>
            <w:shd w:val="clear" w:color="auto" w:fill="auto"/>
            <w:noWrap/>
            <w:vAlign w:val="center"/>
            <w:hideMark/>
          </w:tcPr>
          <w:p w14:paraId="1A79B967"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2654.1</w:t>
            </w:r>
          </w:p>
        </w:tc>
        <w:tc>
          <w:tcPr>
            <w:tcW w:w="1276" w:type="dxa"/>
            <w:tcBorders>
              <w:top w:val="nil"/>
              <w:left w:val="nil"/>
              <w:bottom w:val="single" w:sz="8" w:space="0" w:color="auto"/>
              <w:right w:val="single" w:sz="8" w:space="0" w:color="auto"/>
            </w:tcBorders>
            <w:shd w:val="clear" w:color="auto" w:fill="auto"/>
            <w:noWrap/>
            <w:vAlign w:val="center"/>
            <w:hideMark/>
          </w:tcPr>
          <w:p w14:paraId="4ACA6980"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1728.95</w:t>
            </w:r>
          </w:p>
        </w:tc>
        <w:tc>
          <w:tcPr>
            <w:tcW w:w="916" w:type="dxa"/>
            <w:tcBorders>
              <w:top w:val="nil"/>
              <w:left w:val="nil"/>
              <w:bottom w:val="single" w:sz="8" w:space="0" w:color="auto"/>
              <w:right w:val="single" w:sz="8" w:space="0" w:color="auto"/>
            </w:tcBorders>
            <w:shd w:val="clear" w:color="auto" w:fill="auto"/>
            <w:noWrap/>
            <w:vAlign w:val="center"/>
            <w:hideMark/>
          </w:tcPr>
          <w:p w14:paraId="523E3F79"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407.83</w:t>
            </w:r>
          </w:p>
        </w:tc>
        <w:tc>
          <w:tcPr>
            <w:tcW w:w="952" w:type="dxa"/>
            <w:tcBorders>
              <w:top w:val="nil"/>
              <w:left w:val="nil"/>
              <w:bottom w:val="single" w:sz="8" w:space="0" w:color="auto"/>
              <w:right w:val="single" w:sz="8" w:space="0" w:color="auto"/>
            </w:tcBorders>
            <w:shd w:val="clear" w:color="auto" w:fill="auto"/>
            <w:noWrap/>
            <w:vAlign w:val="center"/>
            <w:hideMark/>
          </w:tcPr>
          <w:p w14:paraId="3915D4FB"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464.99</w:t>
            </w:r>
          </w:p>
        </w:tc>
        <w:tc>
          <w:tcPr>
            <w:tcW w:w="952" w:type="dxa"/>
            <w:tcBorders>
              <w:top w:val="nil"/>
              <w:left w:val="nil"/>
              <w:bottom w:val="single" w:sz="8" w:space="0" w:color="auto"/>
              <w:right w:val="single" w:sz="8" w:space="0" w:color="auto"/>
            </w:tcBorders>
            <w:shd w:val="clear" w:color="auto" w:fill="auto"/>
            <w:noWrap/>
            <w:vAlign w:val="center"/>
            <w:hideMark/>
          </w:tcPr>
          <w:p w14:paraId="15987ABA"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52.33</w:t>
            </w:r>
          </w:p>
        </w:tc>
      </w:tr>
      <w:tr w:rsidR="009A409B" w:rsidRPr="001122AF" w14:paraId="273D0BDF" w14:textId="77777777" w:rsidTr="006F197D">
        <w:trPr>
          <w:trHeight w:val="700"/>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BC0EB07" w14:textId="5D6CB96F"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.1</w:t>
            </w:r>
            <w:r w:rsidR="006F197D">
              <w:rPr>
                <w:rFonts w:ascii="Times New Roman" w:eastAsia="Times New Roman" w:hAnsi="Times New Roman" w:cs="Times New Roman"/>
                <w:sz w:val="20"/>
                <w:szCs w:val="20"/>
                <w:lang w:val="lv-LV" w:eastAsia="lv-LV"/>
              </w:rPr>
              <w:t>3</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030511E9"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Revīzijas </w:t>
            </w:r>
            <w:proofErr w:type="spellStart"/>
            <w:r w:rsidRPr="001122AF">
              <w:rPr>
                <w:rFonts w:ascii="Times New Roman" w:eastAsia="Times New Roman" w:hAnsi="Times New Roman" w:cs="Times New Roman"/>
                <w:sz w:val="20"/>
                <w:szCs w:val="20"/>
                <w:lang w:val="lv-LV" w:eastAsia="lv-LV"/>
              </w:rPr>
              <w:t>endoprotezēšana</w:t>
            </w:r>
            <w:proofErr w:type="spellEnd"/>
            <w:r w:rsidRPr="001122AF">
              <w:rPr>
                <w:rFonts w:ascii="Times New Roman" w:eastAsia="Times New Roman" w:hAnsi="Times New Roman" w:cs="Times New Roman"/>
                <w:sz w:val="20"/>
                <w:szCs w:val="20"/>
                <w:lang w:val="lv-LV" w:eastAsia="lv-LV"/>
              </w:rPr>
              <w:t>(ar endoprotēzes vērtību)</w:t>
            </w:r>
          </w:p>
        </w:tc>
        <w:tc>
          <w:tcPr>
            <w:tcW w:w="1275" w:type="dxa"/>
            <w:tcBorders>
              <w:top w:val="nil"/>
              <w:left w:val="nil"/>
              <w:bottom w:val="single" w:sz="8" w:space="0" w:color="auto"/>
              <w:right w:val="single" w:sz="8" w:space="0" w:color="auto"/>
            </w:tcBorders>
            <w:shd w:val="clear" w:color="auto" w:fill="auto"/>
            <w:noWrap/>
            <w:vAlign w:val="center"/>
            <w:hideMark/>
          </w:tcPr>
          <w:p w14:paraId="748CCB1E"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4105.02</w:t>
            </w:r>
          </w:p>
        </w:tc>
        <w:tc>
          <w:tcPr>
            <w:tcW w:w="1472" w:type="dxa"/>
            <w:tcBorders>
              <w:top w:val="nil"/>
              <w:left w:val="nil"/>
              <w:bottom w:val="single" w:sz="8" w:space="0" w:color="auto"/>
              <w:right w:val="single" w:sz="8" w:space="0" w:color="auto"/>
            </w:tcBorders>
            <w:shd w:val="clear" w:color="auto" w:fill="auto"/>
            <w:noWrap/>
            <w:vAlign w:val="center"/>
            <w:hideMark/>
          </w:tcPr>
          <w:p w14:paraId="585935EF"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1872.04</w:t>
            </w:r>
          </w:p>
        </w:tc>
        <w:tc>
          <w:tcPr>
            <w:tcW w:w="1276" w:type="dxa"/>
            <w:tcBorders>
              <w:top w:val="nil"/>
              <w:left w:val="nil"/>
              <w:bottom w:val="single" w:sz="8" w:space="0" w:color="auto"/>
              <w:right w:val="single" w:sz="8" w:space="0" w:color="auto"/>
            </w:tcBorders>
            <w:shd w:val="clear" w:color="auto" w:fill="auto"/>
            <w:noWrap/>
            <w:vAlign w:val="center"/>
            <w:hideMark/>
          </w:tcPr>
          <w:p w14:paraId="7177024A"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1245.42</w:t>
            </w:r>
          </w:p>
        </w:tc>
        <w:tc>
          <w:tcPr>
            <w:tcW w:w="916" w:type="dxa"/>
            <w:tcBorders>
              <w:top w:val="nil"/>
              <w:left w:val="nil"/>
              <w:bottom w:val="single" w:sz="8" w:space="0" w:color="auto"/>
              <w:right w:val="single" w:sz="8" w:space="0" w:color="auto"/>
            </w:tcBorders>
            <w:shd w:val="clear" w:color="auto" w:fill="auto"/>
            <w:noWrap/>
            <w:vAlign w:val="center"/>
            <w:hideMark/>
          </w:tcPr>
          <w:p w14:paraId="7D9FC35F"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293.83</w:t>
            </w:r>
          </w:p>
        </w:tc>
        <w:tc>
          <w:tcPr>
            <w:tcW w:w="952" w:type="dxa"/>
            <w:tcBorders>
              <w:top w:val="nil"/>
              <w:left w:val="nil"/>
              <w:bottom w:val="single" w:sz="8" w:space="0" w:color="auto"/>
              <w:right w:val="single" w:sz="8" w:space="0" w:color="auto"/>
            </w:tcBorders>
            <w:shd w:val="clear" w:color="auto" w:fill="auto"/>
            <w:noWrap/>
            <w:vAlign w:val="center"/>
            <w:hideMark/>
          </w:tcPr>
          <w:p w14:paraId="75170254"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289.86</w:t>
            </w:r>
          </w:p>
        </w:tc>
        <w:tc>
          <w:tcPr>
            <w:tcW w:w="952" w:type="dxa"/>
            <w:tcBorders>
              <w:top w:val="nil"/>
              <w:left w:val="nil"/>
              <w:bottom w:val="single" w:sz="8" w:space="0" w:color="auto"/>
              <w:right w:val="single" w:sz="8" w:space="0" w:color="auto"/>
            </w:tcBorders>
            <w:shd w:val="clear" w:color="auto" w:fill="auto"/>
            <w:noWrap/>
            <w:vAlign w:val="center"/>
            <w:hideMark/>
          </w:tcPr>
          <w:p w14:paraId="0EC1433C"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42.93</w:t>
            </w:r>
          </w:p>
        </w:tc>
      </w:tr>
      <w:tr w:rsidR="009A409B" w:rsidRPr="001122AF" w14:paraId="276D94CF" w14:textId="77777777" w:rsidTr="006F197D">
        <w:trPr>
          <w:trHeight w:val="1675"/>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6BFD30E4" w14:textId="17668677"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.1</w:t>
            </w:r>
            <w:r w:rsidR="006F197D">
              <w:rPr>
                <w:rFonts w:ascii="Times New Roman" w:eastAsia="Times New Roman" w:hAnsi="Times New Roman" w:cs="Times New Roman"/>
                <w:sz w:val="20"/>
                <w:szCs w:val="20"/>
                <w:lang w:val="lv-LV" w:eastAsia="lv-LV"/>
              </w:rPr>
              <w:t>4</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6B499496"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Revīzijas </w:t>
            </w:r>
            <w:proofErr w:type="spellStart"/>
            <w:r w:rsidRPr="001122AF">
              <w:rPr>
                <w:rFonts w:ascii="Times New Roman" w:eastAsia="Times New Roman" w:hAnsi="Times New Roman" w:cs="Times New Roman"/>
                <w:sz w:val="20"/>
                <w:szCs w:val="20"/>
                <w:lang w:val="lv-LV" w:eastAsia="lv-LV"/>
              </w:rPr>
              <w:t>endoprotezēšana</w:t>
            </w:r>
            <w:proofErr w:type="spellEnd"/>
            <w:r w:rsidRPr="001122AF">
              <w:rPr>
                <w:rFonts w:ascii="Times New Roman" w:eastAsia="Times New Roman" w:hAnsi="Times New Roman" w:cs="Times New Roman"/>
                <w:sz w:val="20"/>
                <w:szCs w:val="20"/>
                <w:lang w:val="lv-LV" w:eastAsia="lv-LV"/>
              </w:rPr>
              <w:t xml:space="preserve"> un </w:t>
            </w:r>
            <w:proofErr w:type="spellStart"/>
            <w:r w:rsidRPr="001122AF">
              <w:rPr>
                <w:rFonts w:ascii="Times New Roman" w:eastAsia="Times New Roman" w:hAnsi="Times New Roman" w:cs="Times New Roman"/>
                <w:sz w:val="20"/>
                <w:szCs w:val="20"/>
                <w:lang w:val="lv-LV" w:eastAsia="lv-LV"/>
              </w:rPr>
              <w:t>endoprotezēšana</w:t>
            </w:r>
            <w:proofErr w:type="spellEnd"/>
            <w:r w:rsidRPr="001122AF">
              <w:rPr>
                <w:rFonts w:ascii="Times New Roman" w:eastAsia="Times New Roman" w:hAnsi="Times New Roman" w:cs="Times New Roman"/>
                <w:sz w:val="20"/>
                <w:szCs w:val="20"/>
                <w:lang w:val="lv-LV" w:eastAsia="lv-LV"/>
              </w:rPr>
              <w:t xml:space="preserve"> </w:t>
            </w:r>
            <w:proofErr w:type="spellStart"/>
            <w:r w:rsidRPr="001122AF">
              <w:rPr>
                <w:rFonts w:ascii="Times New Roman" w:eastAsia="Times New Roman" w:hAnsi="Times New Roman" w:cs="Times New Roman"/>
                <w:sz w:val="20"/>
                <w:szCs w:val="20"/>
                <w:lang w:val="lv-LV" w:eastAsia="lv-LV"/>
              </w:rPr>
              <w:t>osteomielīta</w:t>
            </w:r>
            <w:proofErr w:type="spellEnd"/>
            <w:r w:rsidRPr="001122AF">
              <w:rPr>
                <w:rFonts w:ascii="Times New Roman" w:eastAsia="Times New Roman" w:hAnsi="Times New Roman" w:cs="Times New Roman"/>
                <w:sz w:val="20"/>
                <w:szCs w:val="20"/>
                <w:lang w:val="lv-LV" w:eastAsia="lv-LV"/>
              </w:rPr>
              <w:t xml:space="preserve"> un onkoloģijas pacientiem (bez implanta vērtības)</w:t>
            </w:r>
          </w:p>
        </w:tc>
        <w:tc>
          <w:tcPr>
            <w:tcW w:w="1275" w:type="dxa"/>
            <w:tcBorders>
              <w:top w:val="nil"/>
              <w:left w:val="nil"/>
              <w:bottom w:val="single" w:sz="8" w:space="0" w:color="auto"/>
              <w:right w:val="single" w:sz="8" w:space="0" w:color="auto"/>
            </w:tcBorders>
            <w:shd w:val="clear" w:color="auto" w:fill="auto"/>
            <w:noWrap/>
            <w:vAlign w:val="center"/>
            <w:hideMark/>
          </w:tcPr>
          <w:p w14:paraId="00D61EC7"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3433.14</w:t>
            </w:r>
          </w:p>
        </w:tc>
        <w:tc>
          <w:tcPr>
            <w:tcW w:w="1472" w:type="dxa"/>
            <w:tcBorders>
              <w:top w:val="nil"/>
              <w:left w:val="nil"/>
              <w:bottom w:val="single" w:sz="8" w:space="0" w:color="auto"/>
              <w:right w:val="single" w:sz="8" w:space="0" w:color="auto"/>
            </w:tcBorders>
            <w:shd w:val="clear" w:color="auto" w:fill="auto"/>
            <w:noWrap/>
            <w:vAlign w:val="center"/>
            <w:hideMark/>
          </w:tcPr>
          <w:p w14:paraId="31677B81"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2366.71</w:t>
            </w:r>
          </w:p>
        </w:tc>
        <w:tc>
          <w:tcPr>
            <w:tcW w:w="1276" w:type="dxa"/>
            <w:tcBorders>
              <w:top w:val="nil"/>
              <w:left w:val="nil"/>
              <w:bottom w:val="single" w:sz="8" w:space="0" w:color="auto"/>
              <w:right w:val="single" w:sz="8" w:space="0" w:color="auto"/>
            </w:tcBorders>
            <w:shd w:val="clear" w:color="auto" w:fill="auto"/>
            <w:noWrap/>
            <w:vAlign w:val="center"/>
            <w:hideMark/>
          </w:tcPr>
          <w:p w14:paraId="69F9DB14"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1569.59</w:t>
            </w:r>
          </w:p>
        </w:tc>
        <w:tc>
          <w:tcPr>
            <w:tcW w:w="916" w:type="dxa"/>
            <w:tcBorders>
              <w:top w:val="nil"/>
              <w:left w:val="nil"/>
              <w:bottom w:val="single" w:sz="8" w:space="0" w:color="auto"/>
              <w:right w:val="single" w:sz="8" w:space="0" w:color="auto"/>
            </w:tcBorders>
            <w:shd w:val="clear" w:color="auto" w:fill="auto"/>
            <w:noWrap/>
            <w:vAlign w:val="center"/>
            <w:hideMark/>
          </w:tcPr>
          <w:p w14:paraId="31568417"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370.3</w:t>
            </w:r>
          </w:p>
        </w:tc>
        <w:tc>
          <w:tcPr>
            <w:tcW w:w="952" w:type="dxa"/>
            <w:tcBorders>
              <w:top w:val="nil"/>
              <w:left w:val="nil"/>
              <w:bottom w:val="single" w:sz="8" w:space="0" w:color="auto"/>
              <w:right w:val="single" w:sz="8" w:space="0" w:color="auto"/>
            </w:tcBorders>
            <w:shd w:val="clear" w:color="auto" w:fill="auto"/>
            <w:noWrap/>
            <w:vAlign w:val="center"/>
            <w:hideMark/>
          </w:tcPr>
          <w:p w14:paraId="5F164537"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373.69</w:t>
            </w:r>
          </w:p>
        </w:tc>
        <w:tc>
          <w:tcPr>
            <w:tcW w:w="952" w:type="dxa"/>
            <w:tcBorders>
              <w:top w:val="nil"/>
              <w:left w:val="nil"/>
              <w:bottom w:val="single" w:sz="8" w:space="0" w:color="auto"/>
              <w:right w:val="single" w:sz="8" w:space="0" w:color="auto"/>
            </w:tcBorders>
            <w:shd w:val="clear" w:color="auto" w:fill="auto"/>
            <w:noWrap/>
            <w:vAlign w:val="center"/>
            <w:hideMark/>
          </w:tcPr>
          <w:p w14:paraId="746A272B"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53.13</w:t>
            </w:r>
          </w:p>
        </w:tc>
      </w:tr>
      <w:tr w:rsidR="009A409B" w:rsidRPr="001122AF" w14:paraId="51B7E715" w14:textId="77777777" w:rsidTr="006F197D">
        <w:trPr>
          <w:trHeight w:val="53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1F28A2A" w14:textId="013E9A83"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15</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40AB333E"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Minesotas programma stacionārā</w:t>
            </w:r>
          </w:p>
        </w:tc>
        <w:tc>
          <w:tcPr>
            <w:tcW w:w="1275" w:type="dxa"/>
            <w:tcBorders>
              <w:top w:val="nil"/>
              <w:left w:val="nil"/>
              <w:bottom w:val="single" w:sz="8" w:space="0" w:color="auto"/>
              <w:right w:val="single" w:sz="8" w:space="0" w:color="auto"/>
            </w:tcBorders>
            <w:shd w:val="clear" w:color="auto" w:fill="auto"/>
            <w:noWrap/>
            <w:vAlign w:val="center"/>
            <w:hideMark/>
          </w:tcPr>
          <w:p w14:paraId="02D99E07"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1970.9</w:t>
            </w:r>
          </w:p>
        </w:tc>
        <w:tc>
          <w:tcPr>
            <w:tcW w:w="1472" w:type="dxa"/>
            <w:tcBorders>
              <w:top w:val="nil"/>
              <w:left w:val="nil"/>
              <w:bottom w:val="single" w:sz="8" w:space="0" w:color="auto"/>
              <w:right w:val="single" w:sz="8" w:space="0" w:color="auto"/>
            </w:tcBorders>
            <w:shd w:val="clear" w:color="auto" w:fill="auto"/>
            <w:noWrap/>
            <w:vAlign w:val="center"/>
            <w:hideMark/>
          </w:tcPr>
          <w:p w14:paraId="71903779"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1818.67</w:t>
            </w:r>
          </w:p>
        </w:tc>
        <w:tc>
          <w:tcPr>
            <w:tcW w:w="1276" w:type="dxa"/>
            <w:tcBorders>
              <w:top w:val="nil"/>
              <w:left w:val="nil"/>
              <w:bottom w:val="single" w:sz="8" w:space="0" w:color="auto"/>
              <w:right w:val="single" w:sz="8" w:space="0" w:color="auto"/>
            </w:tcBorders>
            <w:shd w:val="clear" w:color="auto" w:fill="auto"/>
            <w:noWrap/>
            <w:vAlign w:val="center"/>
            <w:hideMark/>
          </w:tcPr>
          <w:p w14:paraId="44AD215C"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1258.22</w:t>
            </w:r>
          </w:p>
        </w:tc>
        <w:tc>
          <w:tcPr>
            <w:tcW w:w="916" w:type="dxa"/>
            <w:tcBorders>
              <w:top w:val="nil"/>
              <w:left w:val="nil"/>
              <w:bottom w:val="single" w:sz="8" w:space="0" w:color="auto"/>
              <w:right w:val="single" w:sz="8" w:space="0" w:color="auto"/>
            </w:tcBorders>
            <w:shd w:val="clear" w:color="auto" w:fill="auto"/>
            <w:noWrap/>
            <w:vAlign w:val="center"/>
            <w:hideMark/>
          </w:tcPr>
          <w:p w14:paraId="40E58F54"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296.81</w:t>
            </w:r>
          </w:p>
        </w:tc>
        <w:tc>
          <w:tcPr>
            <w:tcW w:w="952" w:type="dxa"/>
            <w:tcBorders>
              <w:top w:val="nil"/>
              <w:left w:val="nil"/>
              <w:bottom w:val="single" w:sz="8" w:space="0" w:color="auto"/>
              <w:right w:val="single" w:sz="8" w:space="0" w:color="auto"/>
            </w:tcBorders>
            <w:shd w:val="clear" w:color="auto" w:fill="auto"/>
            <w:noWrap/>
            <w:vAlign w:val="center"/>
            <w:hideMark/>
          </w:tcPr>
          <w:p w14:paraId="41B8593D"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225.74</w:t>
            </w:r>
          </w:p>
        </w:tc>
        <w:tc>
          <w:tcPr>
            <w:tcW w:w="952" w:type="dxa"/>
            <w:tcBorders>
              <w:top w:val="nil"/>
              <w:left w:val="nil"/>
              <w:bottom w:val="single" w:sz="8" w:space="0" w:color="auto"/>
              <w:right w:val="single" w:sz="8" w:space="0" w:color="auto"/>
            </w:tcBorders>
            <w:shd w:val="clear" w:color="auto" w:fill="auto"/>
            <w:noWrap/>
            <w:vAlign w:val="center"/>
            <w:hideMark/>
          </w:tcPr>
          <w:p w14:paraId="58445D30"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       37.90 </w:t>
            </w:r>
          </w:p>
        </w:tc>
      </w:tr>
      <w:tr w:rsidR="009A409B" w:rsidRPr="001122AF" w14:paraId="0D3150BE" w14:textId="77777777" w:rsidTr="006F197D">
        <w:trPr>
          <w:trHeight w:val="540"/>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A090580" w14:textId="535A2D9D"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16</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6724D13F"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Aprūpes slimnīca, nodaļa vai gulta</w:t>
            </w:r>
          </w:p>
        </w:tc>
        <w:tc>
          <w:tcPr>
            <w:tcW w:w="1275" w:type="dxa"/>
            <w:tcBorders>
              <w:top w:val="nil"/>
              <w:left w:val="nil"/>
              <w:bottom w:val="single" w:sz="8" w:space="0" w:color="auto"/>
              <w:right w:val="single" w:sz="8" w:space="0" w:color="auto"/>
            </w:tcBorders>
            <w:shd w:val="clear" w:color="auto" w:fill="auto"/>
            <w:noWrap/>
            <w:vAlign w:val="center"/>
            <w:hideMark/>
          </w:tcPr>
          <w:p w14:paraId="0A7C3E40"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411.62</w:t>
            </w:r>
          </w:p>
        </w:tc>
        <w:tc>
          <w:tcPr>
            <w:tcW w:w="1472" w:type="dxa"/>
            <w:tcBorders>
              <w:top w:val="nil"/>
              <w:left w:val="nil"/>
              <w:bottom w:val="single" w:sz="8" w:space="0" w:color="auto"/>
              <w:right w:val="single" w:sz="8" w:space="0" w:color="auto"/>
            </w:tcBorders>
            <w:shd w:val="clear" w:color="auto" w:fill="auto"/>
            <w:noWrap/>
            <w:vAlign w:val="center"/>
            <w:hideMark/>
          </w:tcPr>
          <w:p w14:paraId="5B6CC0FD"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363.63</w:t>
            </w:r>
          </w:p>
        </w:tc>
        <w:tc>
          <w:tcPr>
            <w:tcW w:w="1276" w:type="dxa"/>
            <w:tcBorders>
              <w:top w:val="nil"/>
              <w:left w:val="nil"/>
              <w:bottom w:val="single" w:sz="8" w:space="0" w:color="auto"/>
              <w:right w:val="single" w:sz="8" w:space="0" w:color="auto"/>
            </w:tcBorders>
            <w:shd w:val="clear" w:color="auto" w:fill="auto"/>
            <w:noWrap/>
            <w:vAlign w:val="center"/>
            <w:hideMark/>
          </w:tcPr>
          <w:p w14:paraId="76349C66"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252.14</w:t>
            </w:r>
          </w:p>
        </w:tc>
        <w:tc>
          <w:tcPr>
            <w:tcW w:w="916" w:type="dxa"/>
            <w:tcBorders>
              <w:top w:val="nil"/>
              <w:left w:val="nil"/>
              <w:bottom w:val="single" w:sz="8" w:space="0" w:color="auto"/>
              <w:right w:val="single" w:sz="8" w:space="0" w:color="auto"/>
            </w:tcBorders>
            <w:shd w:val="clear" w:color="auto" w:fill="auto"/>
            <w:noWrap/>
            <w:vAlign w:val="center"/>
            <w:hideMark/>
          </w:tcPr>
          <w:p w14:paraId="5B60E3DF"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59.49</w:t>
            </w:r>
          </w:p>
        </w:tc>
        <w:tc>
          <w:tcPr>
            <w:tcW w:w="952" w:type="dxa"/>
            <w:tcBorders>
              <w:top w:val="nil"/>
              <w:left w:val="nil"/>
              <w:bottom w:val="single" w:sz="8" w:space="0" w:color="auto"/>
              <w:right w:val="single" w:sz="8" w:space="0" w:color="auto"/>
            </w:tcBorders>
            <w:shd w:val="clear" w:color="auto" w:fill="auto"/>
            <w:noWrap/>
            <w:vAlign w:val="center"/>
            <w:hideMark/>
          </w:tcPr>
          <w:p w14:paraId="2F12D4BA"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44.51</w:t>
            </w:r>
          </w:p>
        </w:tc>
        <w:tc>
          <w:tcPr>
            <w:tcW w:w="952" w:type="dxa"/>
            <w:tcBorders>
              <w:top w:val="nil"/>
              <w:left w:val="nil"/>
              <w:bottom w:val="single" w:sz="8" w:space="0" w:color="auto"/>
              <w:right w:val="single" w:sz="8" w:space="0" w:color="auto"/>
            </w:tcBorders>
            <w:shd w:val="clear" w:color="auto" w:fill="auto"/>
            <w:noWrap/>
            <w:vAlign w:val="center"/>
            <w:hideMark/>
          </w:tcPr>
          <w:p w14:paraId="0077C0EF"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7.49</w:t>
            </w:r>
          </w:p>
        </w:tc>
      </w:tr>
      <w:tr w:rsidR="009A409B" w:rsidRPr="001122AF" w14:paraId="6DC08CF6" w14:textId="77777777" w:rsidTr="006F197D">
        <w:trPr>
          <w:trHeight w:val="125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7F33A2E" w14:textId="0A99F8BD"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5.5</w:t>
            </w:r>
            <w:r w:rsidR="009A409B" w:rsidRPr="001122AF">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17</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090BBBB0"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Hronisko pacientu aprūpes slimnīcā vai nodaļā (ārstēšanas ilgums līdz 10 dienām)</w:t>
            </w:r>
          </w:p>
        </w:tc>
        <w:tc>
          <w:tcPr>
            <w:tcW w:w="1275" w:type="dxa"/>
            <w:tcBorders>
              <w:top w:val="nil"/>
              <w:left w:val="nil"/>
              <w:bottom w:val="single" w:sz="8" w:space="0" w:color="auto"/>
              <w:right w:val="single" w:sz="8" w:space="0" w:color="auto"/>
            </w:tcBorders>
            <w:shd w:val="clear" w:color="auto" w:fill="auto"/>
            <w:noWrap/>
            <w:vAlign w:val="center"/>
            <w:hideMark/>
          </w:tcPr>
          <w:p w14:paraId="222BF6F4"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560.22</w:t>
            </w:r>
          </w:p>
        </w:tc>
        <w:tc>
          <w:tcPr>
            <w:tcW w:w="1472" w:type="dxa"/>
            <w:tcBorders>
              <w:top w:val="nil"/>
              <w:left w:val="nil"/>
              <w:bottom w:val="single" w:sz="8" w:space="0" w:color="auto"/>
              <w:right w:val="single" w:sz="8" w:space="0" w:color="auto"/>
            </w:tcBorders>
            <w:shd w:val="clear" w:color="auto" w:fill="auto"/>
            <w:noWrap/>
            <w:vAlign w:val="center"/>
            <w:hideMark/>
          </w:tcPr>
          <w:p w14:paraId="0BADA1F8"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469.97</w:t>
            </w:r>
          </w:p>
        </w:tc>
        <w:tc>
          <w:tcPr>
            <w:tcW w:w="1276" w:type="dxa"/>
            <w:tcBorders>
              <w:top w:val="nil"/>
              <w:left w:val="nil"/>
              <w:bottom w:val="single" w:sz="8" w:space="0" w:color="auto"/>
              <w:right w:val="single" w:sz="8" w:space="0" w:color="auto"/>
            </w:tcBorders>
            <w:shd w:val="clear" w:color="auto" w:fill="auto"/>
            <w:noWrap/>
            <w:vAlign w:val="center"/>
            <w:hideMark/>
          </w:tcPr>
          <w:p w14:paraId="1F2B6AD5"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315.79</w:t>
            </w:r>
          </w:p>
        </w:tc>
        <w:tc>
          <w:tcPr>
            <w:tcW w:w="916" w:type="dxa"/>
            <w:tcBorders>
              <w:top w:val="nil"/>
              <w:left w:val="nil"/>
              <w:bottom w:val="single" w:sz="8" w:space="0" w:color="auto"/>
              <w:right w:val="single" w:sz="8" w:space="0" w:color="auto"/>
            </w:tcBorders>
            <w:shd w:val="clear" w:color="auto" w:fill="auto"/>
            <w:noWrap/>
            <w:vAlign w:val="center"/>
            <w:hideMark/>
          </w:tcPr>
          <w:p w14:paraId="5FAE28A5"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74.45</w:t>
            </w:r>
          </w:p>
        </w:tc>
        <w:tc>
          <w:tcPr>
            <w:tcW w:w="952" w:type="dxa"/>
            <w:tcBorders>
              <w:top w:val="nil"/>
              <w:left w:val="nil"/>
              <w:bottom w:val="single" w:sz="8" w:space="0" w:color="auto"/>
              <w:right w:val="single" w:sz="8" w:space="0" w:color="auto"/>
            </w:tcBorders>
            <w:shd w:val="clear" w:color="auto" w:fill="auto"/>
            <w:noWrap/>
            <w:vAlign w:val="center"/>
            <w:hideMark/>
          </w:tcPr>
          <w:p w14:paraId="375A35C8"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68.84</w:t>
            </w:r>
          </w:p>
        </w:tc>
        <w:tc>
          <w:tcPr>
            <w:tcW w:w="952" w:type="dxa"/>
            <w:tcBorders>
              <w:top w:val="nil"/>
              <w:left w:val="nil"/>
              <w:bottom w:val="single" w:sz="8" w:space="0" w:color="auto"/>
              <w:right w:val="single" w:sz="8" w:space="0" w:color="auto"/>
            </w:tcBorders>
            <w:shd w:val="clear" w:color="auto" w:fill="auto"/>
            <w:noWrap/>
            <w:vAlign w:val="center"/>
            <w:hideMark/>
          </w:tcPr>
          <w:p w14:paraId="1ACE0C74"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10.89</w:t>
            </w:r>
          </w:p>
        </w:tc>
      </w:tr>
      <w:tr w:rsidR="009A409B" w:rsidRPr="001122AF" w14:paraId="3A47D546" w14:textId="77777777" w:rsidTr="006F197D">
        <w:trPr>
          <w:trHeight w:val="126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EECBCDF" w14:textId="1215FCC1" w:rsidR="009A409B" w:rsidRPr="001122AF" w:rsidRDefault="007A3A39" w:rsidP="009A409B">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lastRenderedPageBreak/>
              <w:t>5.5</w:t>
            </w:r>
            <w:r w:rsidR="009A409B" w:rsidRPr="001122AF">
              <w:rPr>
                <w:rFonts w:ascii="Times New Roman" w:eastAsia="Times New Roman" w:hAnsi="Times New Roman" w:cs="Times New Roman"/>
                <w:sz w:val="20"/>
                <w:szCs w:val="20"/>
                <w:lang w:val="lv-LV" w:eastAsia="lv-LV"/>
              </w:rPr>
              <w:t>.</w:t>
            </w:r>
            <w:r w:rsidR="006F197D">
              <w:rPr>
                <w:rFonts w:ascii="Times New Roman" w:eastAsia="Times New Roman" w:hAnsi="Times New Roman" w:cs="Times New Roman"/>
                <w:sz w:val="20"/>
                <w:szCs w:val="20"/>
                <w:lang w:val="lv-LV" w:eastAsia="lv-LV"/>
              </w:rPr>
              <w:t>18</w:t>
            </w:r>
            <w:r w:rsidR="009A409B" w:rsidRPr="001122AF">
              <w:rPr>
                <w:rFonts w:ascii="Times New Roman" w:eastAsia="Times New Roman" w:hAnsi="Times New Roman" w:cs="Times New Roman"/>
                <w:sz w:val="20"/>
                <w:szCs w:val="20"/>
                <w:lang w:val="lv-LV" w:eastAsia="lv-LV"/>
              </w:rPr>
              <w:t>.</w:t>
            </w:r>
          </w:p>
        </w:tc>
        <w:tc>
          <w:tcPr>
            <w:tcW w:w="2060" w:type="dxa"/>
            <w:tcBorders>
              <w:top w:val="nil"/>
              <w:left w:val="nil"/>
              <w:bottom w:val="single" w:sz="8" w:space="0" w:color="auto"/>
              <w:right w:val="single" w:sz="8" w:space="0" w:color="auto"/>
            </w:tcBorders>
            <w:shd w:val="clear" w:color="auto" w:fill="auto"/>
            <w:vAlign w:val="center"/>
            <w:hideMark/>
          </w:tcPr>
          <w:p w14:paraId="2B166219" w14:textId="77777777" w:rsidR="009A409B" w:rsidRPr="001122AF" w:rsidRDefault="009A409B" w:rsidP="009A409B">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Hronisko pacientu aprūpes slimnīcā vai nodaļā (ārstēšanas ilgums virs 11 dienām)</w:t>
            </w:r>
          </w:p>
        </w:tc>
        <w:tc>
          <w:tcPr>
            <w:tcW w:w="1275" w:type="dxa"/>
            <w:tcBorders>
              <w:top w:val="nil"/>
              <w:left w:val="nil"/>
              <w:bottom w:val="single" w:sz="8" w:space="0" w:color="auto"/>
              <w:right w:val="single" w:sz="8" w:space="0" w:color="auto"/>
            </w:tcBorders>
            <w:shd w:val="clear" w:color="auto" w:fill="auto"/>
            <w:noWrap/>
            <w:vAlign w:val="center"/>
            <w:hideMark/>
          </w:tcPr>
          <w:p w14:paraId="14BE1D92"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753.17</w:t>
            </w:r>
          </w:p>
        </w:tc>
        <w:tc>
          <w:tcPr>
            <w:tcW w:w="1472" w:type="dxa"/>
            <w:tcBorders>
              <w:top w:val="nil"/>
              <w:left w:val="nil"/>
              <w:bottom w:val="single" w:sz="8" w:space="0" w:color="auto"/>
              <w:right w:val="single" w:sz="8" w:space="0" w:color="auto"/>
            </w:tcBorders>
            <w:shd w:val="clear" w:color="auto" w:fill="auto"/>
            <w:noWrap/>
            <w:vAlign w:val="center"/>
            <w:hideMark/>
          </w:tcPr>
          <w:p w14:paraId="5C811E43" w14:textId="77777777" w:rsidR="009A409B" w:rsidRPr="001122AF"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646.53</w:t>
            </w:r>
          </w:p>
        </w:tc>
        <w:tc>
          <w:tcPr>
            <w:tcW w:w="1276" w:type="dxa"/>
            <w:tcBorders>
              <w:top w:val="nil"/>
              <w:left w:val="nil"/>
              <w:bottom w:val="single" w:sz="8" w:space="0" w:color="auto"/>
              <w:right w:val="single" w:sz="8" w:space="0" w:color="auto"/>
            </w:tcBorders>
            <w:shd w:val="clear" w:color="auto" w:fill="auto"/>
            <w:noWrap/>
            <w:vAlign w:val="center"/>
            <w:hideMark/>
          </w:tcPr>
          <w:p w14:paraId="6072E154"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434.5</w:t>
            </w:r>
          </w:p>
        </w:tc>
        <w:tc>
          <w:tcPr>
            <w:tcW w:w="916" w:type="dxa"/>
            <w:tcBorders>
              <w:top w:val="nil"/>
              <w:left w:val="nil"/>
              <w:bottom w:val="single" w:sz="8" w:space="0" w:color="auto"/>
              <w:right w:val="single" w:sz="8" w:space="0" w:color="auto"/>
            </w:tcBorders>
            <w:shd w:val="clear" w:color="auto" w:fill="auto"/>
            <w:noWrap/>
            <w:vAlign w:val="center"/>
            <w:hideMark/>
          </w:tcPr>
          <w:p w14:paraId="323B506C"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102.44</w:t>
            </w:r>
          </w:p>
        </w:tc>
        <w:tc>
          <w:tcPr>
            <w:tcW w:w="952" w:type="dxa"/>
            <w:tcBorders>
              <w:top w:val="nil"/>
              <w:left w:val="nil"/>
              <w:bottom w:val="single" w:sz="8" w:space="0" w:color="auto"/>
              <w:right w:val="single" w:sz="8" w:space="0" w:color="auto"/>
            </w:tcBorders>
            <w:shd w:val="clear" w:color="auto" w:fill="auto"/>
            <w:noWrap/>
            <w:vAlign w:val="center"/>
            <w:hideMark/>
          </w:tcPr>
          <w:p w14:paraId="28891135"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94.6</w:t>
            </w:r>
          </w:p>
        </w:tc>
        <w:tc>
          <w:tcPr>
            <w:tcW w:w="952" w:type="dxa"/>
            <w:tcBorders>
              <w:top w:val="nil"/>
              <w:left w:val="nil"/>
              <w:bottom w:val="single" w:sz="8" w:space="0" w:color="auto"/>
              <w:right w:val="single" w:sz="8" w:space="0" w:color="auto"/>
            </w:tcBorders>
            <w:shd w:val="clear" w:color="auto" w:fill="auto"/>
            <w:noWrap/>
            <w:vAlign w:val="center"/>
            <w:hideMark/>
          </w:tcPr>
          <w:p w14:paraId="2D65ED28" w14:textId="77777777" w:rsidR="009A409B" w:rsidRPr="001122AF" w:rsidRDefault="009A409B" w:rsidP="009A409B">
            <w:pPr>
              <w:spacing w:after="0" w:line="240" w:lineRule="auto"/>
              <w:jc w:val="right"/>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14.99</w:t>
            </w:r>
          </w:p>
        </w:tc>
      </w:tr>
    </w:tbl>
    <w:p w14:paraId="1F1ADC07" w14:textId="77777777" w:rsidR="00550E33" w:rsidRPr="001122AF" w:rsidRDefault="00550E33" w:rsidP="009A454A">
      <w:pPr>
        <w:spacing w:after="0" w:line="240" w:lineRule="auto"/>
        <w:rPr>
          <w:rFonts w:ascii="Times New Roman" w:hAnsi="Times New Roman" w:cs="Times New Roman"/>
          <w:i/>
          <w:sz w:val="24"/>
          <w:lang w:val="lv-LV"/>
        </w:rPr>
      </w:pPr>
    </w:p>
    <w:p w14:paraId="62CE2994" w14:textId="77777777" w:rsidR="001B6D41" w:rsidRPr="001122AF" w:rsidRDefault="001B6D41" w:rsidP="000F3CFA">
      <w:pPr>
        <w:pStyle w:val="tv213"/>
        <w:shd w:val="clear" w:color="auto" w:fill="FFFFFF"/>
        <w:spacing w:before="0" w:beforeAutospacing="0" w:after="0" w:afterAutospacing="0"/>
        <w:jc w:val="both"/>
        <w:rPr>
          <w:rFonts w:eastAsiaTheme="minorHAnsi"/>
          <w:sz w:val="22"/>
          <w:szCs w:val="22"/>
          <w:lang w:eastAsia="en-US"/>
        </w:rPr>
      </w:pPr>
    </w:p>
    <w:p w14:paraId="56AE6996" w14:textId="208D2B98" w:rsidR="00EB31D7" w:rsidRPr="001122AF" w:rsidRDefault="00EB31D7" w:rsidP="000F3CFA">
      <w:pPr>
        <w:pStyle w:val="tv213"/>
        <w:shd w:val="clear" w:color="auto" w:fill="FFFFFF"/>
        <w:spacing w:before="0" w:beforeAutospacing="0" w:after="0" w:afterAutospacing="0"/>
        <w:jc w:val="both"/>
        <w:rPr>
          <w:rFonts w:eastAsiaTheme="minorHAnsi"/>
          <w:sz w:val="22"/>
          <w:szCs w:val="22"/>
          <w:lang w:eastAsia="en-US"/>
        </w:rPr>
      </w:pPr>
      <w:r w:rsidRPr="001122AF">
        <w:rPr>
          <w:rFonts w:eastAsiaTheme="minorHAnsi"/>
          <w:sz w:val="22"/>
          <w:szCs w:val="22"/>
          <w:lang w:eastAsia="en-US"/>
        </w:rPr>
        <w:t>*Tabulā izmantotie apzīmējumi:</w:t>
      </w:r>
    </w:p>
    <w:p w14:paraId="6D4BF960" w14:textId="352E71FD" w:rsidR="00E7192B" w:rsidRPr="001122AF" w:rsidRDefault="000F3CFA" w:rsidP="000F3CFA">
      <w:pPr>
        <w:pStyle w:val="tv213"/>
        <w:shd w:val="clear" w:color="auto" w:fill="FFFFFF"/>
        <w:spacing w:before="0" w:beforeAutospacing="0" w:after="0" w:afterAutospacing="0"/>
        <w:jc w:val="both"/>
        <w:rPr>
          <w:rFonts w:eastAsiaTheme="minorHAnsi"/>
          <w:i/>
          <w:sz w:val="22"/>
          <w:szCs w:val="22"/>
          <w:lang w:eastAsia="en-US"/>
        </w:rPr>
      </w:pPr>
      <w:r w:rsidRPr="001122AF">
        <w:rPr>
          <w:rFonts w:eastAsiaTheme="minorHAnsi"/>
          <w:i/>
          <w:sz w:val="22"/>
          <w:szCs w:val="22"/>
          <w:lang w:eastAsia="en-US"/>
        </w:rPr>
        <w:t xml:space="preserve"> D</w:t>
      </w:r>
      <w:r w:rsidR="00482A1A" w:rsidRPr="001122AF">
        <w:rPr>
          <w:rFonts w:eastAsiaTheme="minorHAnsi"/>
          <w:i/>
          <w:sz w:val="22"/>
          <w:szCs w:val="22"/>
          <w:lang w:eastAsia="en-US"/>
        </w:rPr>
        <w:t xml:space="preserve"> </w:t>
      </w:r>
      <w:r w:rsidR="00E7192B" w:rsidRPr="001122AF">
        <w:rPr>
          <w:rFonts w:eastAsiaTheme="minorHAnsi"/>
          <w:i/>
          <w:sz w:val="22"/>
          <w:szCs w:val="22"/>
          <w:lang w:eastAsia="en-US"/>
        </w:rPr>
        <w:t>– darba samaksa;</w:t>
      </w:r>
    </w:p>
    <w:p w14:paraId="16AAD2AF" w14:textId="77777777" w:rsidR="00E7192B" w:rsidRPr="001122AF"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122AF">
        <w:rPr>
          <w:rFonts w:eastAsiaTheme="minorHAnsi"/>
          <w:i/>
          <w:sz w:val="22"/>
          <w:szCs w:val="22"/>
          <w:lang w:eastAsia="en-US"/>
        </w:rPr>
        <w:t xml:space="preserve"> S – valsts sociālās apdrošināšanas obligātās iemaksas;</w:t>
      </w:r>
    </w:p>
    <w:p w14:paraId="32615253" w14:textId="4AF65D7B" w:rsidR="00E7192B" w:rsidRPr="001122AF"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122AF">
        <w:rPr>
          <w:i/>
          <w:sz w:val="22"/>
          <w:szCs w:val="22"/>
        </w:rPr>
        <w:t xml:space="preserve">U – pieskaitāmās un netiešās ražošanas izmaksas (ar pacientu uzturēšanu saistītie  izdevumi pakalpojumu apmaksai, riska maksājuma veikšanai, materiālu, energoresursu, </w:t>
      </w:r>
      <w:r w:rsidRPr="001122AF">
        <w:rPr>
          <w:rFonts w:eastAsiaTheme="minorHAnsi"/>
          <w:i/>
          <w:sz w:val="22"/>
          <w:szCs w:val="22"/>
          <w:lang w:eastAsia="en-US"/>
        </w:rPr>
        <w:t>ūdens un inventāra iegādei);</w:t>
      </w:r>
    </w:p>
    <w:p w14:paraId="5AA01052" w14:textId="762E2459" w:rsidR="00E7192B" w:rsidRPr="001122AF"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122AF">
        <w:rPr>
          <w:rFonts w:eastAsiaTheme="minorHAnsi"/>
          <w:i/>
          <w:sz w:val="22"/>
          <w:szCs w:val="22"/>
          <w:lang w:eastAsia="en-US"/>
        </w:rPr>
        <w:t>A – administratīvie izdevumi;</w:t>
      </w:r>
    </w:p>
    <w:p w14:paraId="35838552" w14:textId="073D6CD7" w:rsidR="000F3CFA" w:rsidRPr="001767AC" w:rsidRDefault="000F3CFA" w:rsidP="001767AC">
      <w:pPr>
        <w:pStyle w:val="tv213"/>
        <w:shd w:val="clear" w:color="auto" w:fill="FFFFFF"/>
        <w:spacing w:before="0" w:beforeAutospacing="0" w:after="0" w:afterAutospacing="0"/>
        <w:ind w:left="720"/>
        <w:jc w:val="both"/>
        <w:rPr>
          <w:rFonts w:eastAsiaTheme="minorHAnsi"/>
          <w:iCs/>
          <w:sz w:val="22"/>
          <w:szCs w:val="22"/>
          <w:lang w:eastAsia="en-US"/>
        </w:rPr>
      </w:pPr>
    </w:p>
    <w:p w14:paraId="55E5AA20" w14:textId="57ADA399" w:rsidR="000318C1" w:rsidRPr="001122AF" w:rsidRDefault="009E5DAE" w:rsidP="009E6B76">
      <w:pPr>
        <w:pStyle w:val="ListParagraph"/>
        <w:numPr>
          <w:ilvl w:val="1"/>
          <w:numId w:val="8"/>
        </w:numPr>
        <w:spacing w:after="0" w:line="240" w:lineRule="auto"/>
        <w:ind w:hanging="11"/>
        <w:jc w:val="both"/>
        <w:rPr>
          <w:lang w:val="lv-LV"/>
        </w:rPr>
      </w:pPr>
      <w:r w:rsidRPr="001122AF">
        <w:rPr>
          <w:rFonts w:ascii="Times New Roman" w:hAnsi="Times New Roman" w:cs="Times New Roman"/>
          <w:sz w:val="24"/>
          <w:lang w:val="lv-LV"/>
        </w:rPr>
        <w:t>DIENESTS</w:t>
      </w:r>
      <w:r w:rsidR="000318C1" w:rsidRPr="001122AF">
        <w:rPr>
          <w:rFonts w:ascii="Times New Roman" w:hAnsi="Times New Roman" w:cs="Times New Roman"/>
          <w:sz w:val="24"/>
          <w:lang w:val="lv-LV"/>
        </w:rPr>
        <w:t xml:space="preserve"> par 2.tabulā noteiktajām</w:t>
      </w:r>
      <w:r w:rsidRPr="001122AF">
        <w:rPr>
          <w:rFonts w:ascii="Times New Roman" w:hAnsi="Times New Roman" w:cs="Times New Roman"/>
          <w:sz w:val="24"/>
          <w:lang w:val="lv-LV"/>
        </w:rPr>
        <w:t xml:space="preserve"> </w:t>
      </w:r>
      <w:r w:rsidR="00527EC4" w:rsidRPr="001122AF">
        <w:rPr>
          <w:rFonts w:ascii="Times New Roman" w:hAnsi="Times New Roman" w:cs="Times New Roman"/>
          <w:sz w:val="24"/>
          <w:lang w:val="lv-LV"/>
        </w:rPr>
        <w:t xml:space="preserve">iezīmēto pakalpojumu programmām </w:t>
      </w:r>
      <w:r w:rsidR="007C450C" w:rsidRPr="001122AF">
        <w:rPr>
          <w:rFonts w:ascii="Times New Roman" w:hAnsi="Times New Roman" w:cs="Times New Roman"/>
          <w:sz w:val="24"/>
          <w:lang w:val="lv-LV"/>
        </w:rPr>
        <w:t>maksā</w:t>
      </w:r>
      <w:r w:rsidR="004D7BFB" w:rsidRPr="001122AF">
        <w:rPr>
          <w:rFonts w:ascii="Times New Roman" w:hAnsi="Times New Roman" w:cs="Times New Roman"/>
          <w:sz w:val="24"/>
          <w:lang w:val="lv-LV"/>
        </w:rPr>
        <w:t xml:space="preserve"> </w:t>
      </w:r>
      <w:r w:rsidR="001E2088" w:rsidRPr="001122AF">
        <w:rPr>
          <w:rFonts w:ascii="Times New Roman" w:hAnsi="Times New Roman" w:cs="Times New Roman"/>
          <w:sz w:val="24"/>
          <w:lang w:val="lv-LV"/>
        </w:rPr>
        <w:t>šī dokumenta</w:t>
      </w:r>
      <w:r w:rsidR="004D7BFB" w:rsidRPr="001122AF">
        <w:rPr>
          <w:rFonts w:ascii="Times New Roman" w:hAnsi="Times New Roman" w:cs="Times New Roman"/>
          <w:sz w:val="24"/>
          <w:lang w:val="lv-LV"/>
        </w:rPr>
        <w:t xml:space="preserve"> </w:t>
      </w:r>
      <w:r w:rsidR="009E6B76" w:rsidRPr="001122AF">
        <w:rPr>
          <w:rFonts w:ascii="Times New Roman" w:hAnsi="Times New Roman" w:cs="Times New Roman"/>
          <w:sz w:val="24"/>
          <w:lang w:val="lv-LV"/>
        </w:rPr>
        <w:t>5</w:t>
      </w:r>
      <w:r w:rsidR="004D7BFB" w:rsidRPr="001122AF">
        <w:rPr>
          <w:rFonts w:ascii="Times New Roman" w:hAnsi="Times New Roman" w:cs="Times New Roman"/>
          <w:sz w:val="24"/>
          <w:lang w:val="lv-LV"/>
        </w:rPr>
        <w:t>.</w:t>
      </w:r>
      <w:r w:rsidR="009E6B76" w:rsidRPr="001122AF">
        <w:rPr>
          <w:rFonts w:ascii="Times New Roman" w:hAnsi="Times New Roman" w:cs="Times New Roman"/>
          <w:sz w:val="24"/>
          <w:lang w:val="lv-LV"/>
        </w:rPr>
        <w:t xml:space="preserve"> </w:t>
      </w:r>
      <w:r w:rsidR="004D7BFB" w:rsidRPr="001122AF">
        <w:rPr>
          <w:rFonts w:ascii="Times New Roman" w:hAnsi="Times New Roman" w:cs="Times New Roman"/>
          <w:sz w:val="24"/>
          <w:lang w:val="lv-LV"/>
        </w:rPr>
        <w:t>punktā noteiktajā kārtībā</w:t>
      </w:r>
      <w:r w:rsidR="007C450C" w:rsidRPr="001122AF">
        <w:rPr>
          <w:rFonts w:ascii="Times New Roman" w:hAnsi="Times New Roman" w:cs="Times New Roman"/>
          <w:sz w:val="24"/>
          <w:lang w:val="lv-LV"/>
        </w:rPr>
        <w:t xml:space="preserve">, </w:t>
      </w:r>
      <w:r w:rsidR="004D7BFB" w:rsidRPr="001122AF">
        <w:rPr>
          <w:rFonts w:ascii="Times New Roman" w:hAnsi="Times New Roman" w:cs="Times New Roman"/>
          <w:sz w:val="24"/>
          <w:lang w:val="lv-LV"/>
        </w:rPr>
        <w:t xml:space="preserve">papildus </w:t>
      </w:r>
      <w:r w:rsidR="007C450C" w:rsidRPr="001122AF">
        <w:rPr>
          <w:rFonts w:ascii="Times New Roman" w:hAnsi="Times New Roman" w:cs="Times New Roman"/>
          <w:sz w:val="24"/>
          <w:lang w:val="lv-LV"/>
        </w:rPr>
        <w:t xml:space="preserve">vērtējot IZPILDĪTĀJA sasniegto </w:t>
      </w:r>
      <w:r w:rsidR="00EB31D7" w:rsidRPr="001122AF">
        <w:rPr>
          <w:rFonts w:ascii="Times New Roman" w:hAnsi="Times New Roman" w:cs="Times New Roman"/>
          <w:b/>
          <w:sz w:val="24"/>
          <w:lang w:val="lv-LV"/>
        </w:rPr>
        <w:t>procentuāl</w:t>
      </w:r>
      <w:r w:rsidR="006939B8" w:rsidRPr="001122AF">
        <w:rPr>
          <w:rFonts w:ascii="Times New Roman" w:hAnsi="Times New Roman" w:cs="Times New Roman"/>
          <w:b/>
          <w:sz w:val="24"/>
          <w:lang w:val="lv-LV"/>
        </w:rPr>
        <w:t>o</w:t>
      </w:r>
      <w:r w:rsidR="00076773" w:rsidRPr="001122AF">
        <w:rPr>
          <w:rFonts w:ascii="Times New Roman" w:hAnsi="Times New Roman" w:cs="Times New Roman"/>
          <w:b/>
          <w:sz w:val="24"/>
          <w:lang w:val="lv-LV"/>
        </w:rPr>
        <w:t xml:space="preserve"> </w:t>
      </w:r>
      <w:r w:rsidR="009A548F" w:rsidRPr="001122AF">
        <w:rPr>
          <w:rFonts w:ascii="Times New Roman" w:hAnsi="Times New Roman" w:cs="Times New Roman"/>
          <w:b/>
          <w:sz w:val="24"/>
          <w:lang w:val="lv-LV"/>
        </w:rPr>
        <w:t xml:space="preserve">pacientu izpildes </w:t>
      </w:r>
      <w:r w:rsidR="00517717" w:rsidRPr="001122AF">
        <w:rPr>
          <w:rFonts w:ascii="Times New Roman" w:hAnsi="Times New Roman" w:cs="Times New Roman"/>
          <w:b/>
          <w:sz w:val="24"/>
          <w:lang w:val="lv-LV"/>
        </w:rPr>
        <w:t>mērķ</w:t>
      </w:r>
      <w:r w:rsidR="00EB31D7" w:rsidRPr="001122AF">
        <w:rPr>
          <w:rFonts w:ascii="Times New Roman" w:hAnsi="Times New Roman" w:cs="Times New Roman"/>
          <w:b/>
          <w:sz w:val="24"/>
          <w:lang w:val="lv-LV"/>
        </w:rPr>
        <w:t xml:space="preserve">a </w:t>
      </w:r>
      <w:r w:rsidR="00517717" w:rsidRPr="001122AF">
        <w:rPr>
          <w:rFonts w:ascii="Times New Roman" w:hAnsi="Times New Roman" w:cs="Times New Roman"/>
          <w:b/>
          <w:sz w:val="24"/>
          <w:lang w:val="lv-LV"/>
        </w:rPr>
        <w:t>rādītāj</w:t>
      </w:r>
      <w:r w:rsidR="007C450C" w:rsidRPr="001122AF">
        <w:rPr>
          <w:rFonts w:ascii="Times New Roman" w:hAnsi="Times New Roman" w:cs="Times New Roman"/>
          <w:b/>
          <w:sz w:val="24"/>
          <w:lang w:val="lv-LV"/>
        </w:rPr>
        <w:t xml:space="preserve">u </w:t>
      </w:r>
      <w:r w:rsidR="007C450C" w:rsidRPr="001122AF">
        <w:rPr>
          <w:rFonts w:ascii="Times New Roman" w:hAnsi="Times New Roman" w:cs="Times New Roman"/>
          <w:sz w:val="24"/>
          <w:lang w:val="lv-LV"/>
        </w:rPr>
        <w:t>(noteikts atbilstoši</w:t>
      </w:r>
      <w:r w:rsidR="007C450C" w:rsidRPr="001122AF">
        <w:rPr>
          <w:rFonts w:ascii="Times New Roman" w:hAnsi="Times New Roman" w:cs="Times New Roman"/>
          <w:b/>
          <w:sz w:val="24"/>
          <w:lang w:val="lv-LV"/>
        </w:rPr>
        <w:t xml:space="preserve"> </w:t>
      </w:r>
      <w:r w:rsidR="009F6586" w:rsidRPr="001122AF">
        <w:rPr>
          <w:rFonts w:ascii="Times New Roman" w:hAnsi="Times New Roman" w:cs="Times New Roman"/>
          <w:sz w:val="24"/>
          <w:lang w:val="lv-LV"/>
        </w:rPr>
        <w:t xml:space="preserve">faktiski </w:t>
      </w:r>
      <w:r w:rsidR="00EB31D7" w:rsidRPr="001122AF">
        <w:rPr>
          <w:rFonts w:ascii="Times New Roman" w:hAnsi="Times New Roman" w:cs="Times New Roman"/>
          <w:sz w:val="24"/>
          <w:lang w:val="lv-LV"/>
        </w:rPr>
        <w:t xml:space="preserve">ārstēto </w:t>
      </w:r>
      <w:r w:rsidR="009F6586" w:rsidRPr="001122AF">
        <w:rPr>
          <w:rFonts w:ascii="Times New Roman" w:hAnsi="Times New Roman" w:cs="Times New Roman"/>
          <w:sz w:val="24"/>
          <w:lang w:val="lv-LV"/>
        </w:rPr>
        <w:t xml:space="preserve">pacientu </w:t>
      </w:r>
      <w:r w:rsidR="00EB31D7" w:rsidRPr="001122AF">
        <w:rPr>
          <w:rFonts w:ascii="Times New Roman" w:hAnsi="Times New Roman" w:cs="Times New Roman"/>
          <w:sz w:val="24"/>
          <w:lang w:val="lv-LV"/>
        </w:rPr>
        <w:t>skaita tendenc</w:t>
      </w:r>
      <w:r w:rsidR="007C450C" w:rsidRPr="001122AF">
        <w:rPr>
          <w:rFonts w:ascii="Times New Roman" w:hAnsi="Times New Roman" w:cs="Times New Roman"/>
          <w:sz w:val="24"/>
          <w:lang w:val="lv-LV"/>
        </w:rPr>
        <w:t>e</w:t>
      </w:r>
      <w:r w:rsidR="00EB31D7" w:rsidRPr="001122AF">
        <w:rPr>
          <w:rFonts w:ascii="Times New Roman" w:hAnsi="Times New Roman" w:cs="Times New Roman"/>
          <w:sz w:val="24"/>
          <w:lang w:val="lv-LV"/>
        </w:rPr>
        <w:t xml:space="preserve">i </w:t>
      </w:r>
      <w:r w:rsidR="009F6586" w:rsidRPr="001122AF">
        <w:rPr>
          <w:rFonts w:ascii="Times New Roman" w:hAnsi="Times New Roman" w:cs="Times New Roman"/>
          <w:sz w:val="24"/>
          <w:lang w:val="lv-LV"/>
        </w:rPr>
        <w:t>periodā no 2017. -</w:t>
      </w:r>
      <w:r w:rsidR="00EB31D7" w:rsidRPr="001122AF">
        <w:rPr>
          <w:rFonts w:ascii="Times New Roman" w:hAnsi="Times New Roman" w:cs="Times New Roman"/>
          <w:sz w:val="24"/>
          <w:lang w:val="lv-LV"/>
        </w:rPr>
        <w:t xml:space="preserve"> </w:t>
      </w:r>
      <w:r w:rsidR="009F6586" w:rsidRPr="001122AF">
        <w:rPr>
          <w:rFonts w:ascii="Times New Roman" w:hAnsi="Times New Roman" w:cs="Times New Roman"/>
          <w:sz w:val="24"/>
          <w:lang w:val="lv-LV"/>
        </w:rPr>
        <w:t>2019. gadam</w:t>
      </w:r>
      <w:r w:rsidR="007C450C" w:rsidRPr="001122AF">
        <w:rPr>
          <w:rFonts w:ascii="Times New Roman" w:hAnsi="Times New Roman" w:cs="Times New Roman"/>
          <w:sz w:val="24"/>
          <w:lang w:val="lv-LV"/>
        </w:rPr>
        <w:t>)</w:t>
      </w:r>
      <w:r w:rsidR="00527EC4" w:rsidRPr="001122AF">
        <w:rPr>
          <w:rFonts w:ascii="Times New Roman" w:hAnsi="Times New Roman" w:cs="Times New Roman"/>
          <w:sz w:val="24"/>
          <w:lang w:val="lv-LV"/>
        </w:rPr>
        <w:t>,</w:t>
      </w:r>
      <w:r w:rsidR="007C450C" w:rsidRPr="001122AF">
        <w:rPr>
          <w:rFonts w:ascii="Times New Roman" w:hAnsi="Times New Roman" w:cs="Times New Roman"/>
          <w:sz w:val="24"/>
          <w:lang w:val="lv-LV"/>
        </w:rPr>
        <w:t xml:space="preserve"> </w:t>
      </w:r>
      <w:r w:rsidR="00076773" w:rsidRPr="001122AF">
        <w:rPr>
          <w:rFonts w:ascii="Times New Roman" w:hAnsi="Times New Roman" w:cs="Times New Roman"/>
          <w:sz w:val="24"/>
          <w:lang w:val="lv-LV"/>
        </w:rPr>
        <w:t>apjomā, kas nepārsniedz procentuālā pacientu izpildes mērķa rādītāja robežu</w:t>
      </w:r>
      <w:r w:rsidR="004D7BFB" w:rsidRPr="001122AF">
        <w:rPr>
          <w:rFonts w:ascii="Times New Roman" w:hAnsi="Times New Roman" w:cs="Times New Roman"/>
          <w:sz w:val="24"/>
          <w:lang w:val="lv-LV"/>
        </w:rPr>
        <w:t>, ievērojot šādus nosacījumus</w:t>
      </w:r>
      <w:r w:rsidR="0070251D" w:rsidRPr="001122AF">
        <w:rPr>
          <w:rFonts w:ascii="Times New Roman" w:hAnsi="Times New Roman" w:cs="Times New Roman"/>
          <w:sz w:val="24"/>
          <w:lang w:val="lv-LV"/>
        </w:rPr>
        <w:t xml:space="preserve"> un </w:t>
      </w:r>
      <w:r w:rsidR="0070251D" w:rsidRPr="001122AF">
        <w:rPr>
          <w:rFonts w:ascii="Times New Roman" w:hAnsi="Times New Roman" w:cs="Times New Roman"/>
          <w:b/>
          <w:bCs/>
          <w:sz w:val="24"/>
          <w:lang w:val="lv-LV"/>
        </w:rPr>
        <w:t>kompensācijas maksājuma tarifu</w:t>
      </w:r>
      <w:r w:rsidR="002C0672" w:rsidRPr="001122AF">
        <w:rPr>
          <w:rFonts w:ascii="Times New Roman" w:hAnsi="Times New Roman" w:cs="Times New Roman"/>
          <w:b/>
          <w:bCs/>
          <w:sz w:val="24"/>
          <w:lang w:val="lv-LV"/>
        </w:rPr>
        <w:t>s</w:t>
      </w:r>
      <w:r w:rsidR="00076773" w:rsidRPr="001122AF">
        <w:rPr>
          <w:rFonts w:ascii="Times New Roman" w:hAnsi="Times New Roman" w:cs="Times New Roman"/>
          <w:sz w:val="24"/>
          <w:lang w:val="lv-LV"/>
        </w:rPr>
        <w:t>:</w:t>
      </w:r>
    </w:p>
    <w:p w14:paraId="753534BC" w14:textId="2E3A8B92" w:rsidR="000318C1" w:rsidRPr="001122AF" w:rsidRDefault="000318C1" w:rsidP="000318C1">
      <w:pPr>
        <w:pStyle w:val="ListParagraph"/>
        <w:spacing w:after="0" w:line="240" w:lineRule="auto"/>
        <w:jc w:val="right"/>
        <w:rPr>
          <w:rFonts w:ascii="Times New Roman" w:hAnsi="Times New Roman" w:cs="Times New Roman"/>
          <w:i/>
          <w:sz w:val="24"/>
          <w:szCs w:val="24"/>
          <w:lang w:val="lv-LV"/>
        </w:rPr>
      </w:pPr>
      <w:r w:rsidRPr="001122AF">
        <w:rPr>
          <w:rFonts w:ascii="Times New Roman" w:hAnsi="Times New Roman" w:cs="Times New Roman"/>
          <w:i/>
          <w:sz w:val="24"/>
          <w:szCs w:val="24"/>
          <w:lang w:val="lv-LV"/>
        </w:rPr>
        <w:t>2.tabula</w:t>
      </w:r>
    </w:p>
    <w:tbl>
      <w:tblPr>
        <w:tblW w:w="10645" w:type="dxa"/>
        <w:tblInd w:w="-577" w:type="dxa"/>
        <w:tblLayout w:type="fixed"/>
        <w:tblLook w:val="04A0" w:firstRow="1" w:lastRow="0" w:firstColumn="1" w:lastColumn="0" w:noHBand="0" w:noVBand="1"/>
      </w:tblPr>
      <w:tblGrid>
        <w:gridCol w:w="737"/>
        <w:gridCol w:w="1904"/>
        <w:gridCol w:w="1328"/>
        <w:gridCol w:w="1134"/>
        <w:gridCol w:w="1560"/>
        <w:gridCol w:w="992"/>
        <w:gridCol w:w="1022"/>
        <w:gridCol w:w="984"/>
        <w:gridCol w:w="984"/>
      </w:tblGrid>
      <w:tr w:rsidR="004D4BFA" w:rsidRPr="001122AF" w14:paraId="3BA57356" w14:textId="77777777" w:rsidTr="004D4BFA">
        <w:trPr>
          <w:trHeight w:val="2403"/>
        </w:trPr>
        <w:tc>
          <w:tcPr>
            <w:tcW w:w="7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74B95"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 </w:t>
            </w:r>
          </w:p>
        </w:tc>
        <w:tc>
          <w:tcPr>
            <w:tcW w:w="1904" w:type="dxa"/>
            <w:tcBorders>
              <w:top w:val="single" w:sz="8" w:space="0" w:color="auto"/>
              <w:left w:val="nil"/>
              <w:bottom w:val="single" w:sz="8" w:space="0" w:color="auto"/>
              <w:right w:val="single" w:sz="8" w:space="0" w:color="auto"/>
            </w:tcBorders>
            <w:shd w:val="clear" w:color="auto" w:fill="auto"/>
            <w:noWrap/>
            <w:vAlign w:val="center"/>
            <w:hideMark/>
          </w:tcPr>
          <w:p w14:paraId="2C0B536B"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Pakalpojuma programmas nosaukums</w:t>
            </w:r>
          </w:p>
        </w:tc>
        <w:tc>
          <w:tcPr>
            <w:tcW w:w="1328" w:type="dxa"/>
            <w:tcBorders>
              <w:top w:val="single" w:sz="8" w:space="0" w:color="auto"/>
              <w:left w:val="nil"/>
              <w:bottom w:val="single" w:sz="8" w:space="0" w:color="auto"/>
              <w:right w:val="single" w:sz="8" w:space="0" w:color="auto"/>
            </w:tcBorders>
            <w:shd w:val="clear" w:color="auto" w:fill="auto"/>
            <w:vAlign w:val="center"/>
            <w:hideMark/>
          </w:tcPr>
          <w:p w14:paraId="498C03DE"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Kompensācija tiek piemērota, ja faktiskā pacientu skaita izpilde pret plānoto ir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B7D26E1"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Viena pacienta ārstēšanas  tarifs, EUR</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B49474D"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Viena pacienta kompensācijas maksājuma tarifs, EUR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5412C57"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t.sk. tarifa D elements</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14:paraId="204ED781"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t.sk. tarifa  S elements</w:t>
            </w:r>
          </w:p>
        </w:tc>
        <w:tc>
          <w:tcPr>
            <w:tcW w:w="984" w:type="dxa"/>
            <w:tcBorders>
              <w:top w:val="single" w:sz="8" w:space="0" w:color="auto"/>
              <w:left w:val="nil"/>
              <w:bottom w:val="single" w:sz="8" w:space="0" w:color="auto"/>
              <w:right w:val="single" w:sz="8" w:space="0" w:color="auto"/>
            </w:tcBorders>
            <w:shd w:val="clear" w:color="auto" w:fill="auto"/>
            <w:vAlign w:val="center"/>
            <w:hideMark/>
          </w:tcPr>
          <w:p w14:paraId="0BAE37CC"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t.sk. tarifa U elements</w:t>
            </w:r>
          </w:p>
        </w:tc>
        <w:tc>
          <w:tcPr>
            <w:tcW w:w="984" w:type="dxa"/>
            <w:tcBorders>
              <w:top w:val="single" w:sz="8" w:space="0" w:color="auto"/>
              <w:left w:val="nil"/>
              <w:bottom w:val="single" w:sz="8" w:space="0" w:color="auto"/>
              <w:right w:val="single" w:sz="8" w:space="0" w:color="auto"/>
            </w:tcBorders>
            <w:shd w:val="clear" w:color="auto" w:fill="auto"/>
            <w:vAlign w:val="center"/>
            <w:hideMark/>
          </w:tcPr>
          <w:p w14:paraId="359F4EF9"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t.sk. tarifa A elements</w:t>
            </w:r>
          </w:p>
        </w:tc>
      </w:tr>
      <w:tr w:rsidR="004D4BFA" w:rsidRPr="001122AF" w14:paraId="732C603D" w14:textId="77777777" w:rsidTr="004D4BFA">
        <w:trPr>
          <w:trHeight w:val="24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55466BA7" w14:textId="7B986FE5" w:rsidR="004D4BFA" w:rsidRPr="001122AF" w:rsidRDefault="00AE1F7F" w:rsidP="004D4BFA">
            <w:pPr>
              <w:spacing w:after="0" w:line="24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5.6</w:t>
            </w:r>
            <w:r w:rsidR="004D4BFA" w:rsidRPr="001122AF">
              <w:rPr>
                <w:rFonts w:ascii="Times New Roman" w:eastAsia="Times New Roman" w:hAnsi="Times New Roman" w:cs="Times New Roman"/>
                <w:sz w:val="20"/>
                <w:szCs w:val="20"/>
                <w:lang w:val="lv-LV" w:eastAsia="lv-LV"/>
              </w:rPr>
              <w:t>.1.</w:t>
            </w:r>
          </w:p>
        </w:tc>
        <w:tc>
          <w:tcPr>
            <w:tcW w:w="1904" w:type="dxa"/>
            <w:tcBorders>
              <w:top w:val="nil"/>
              <w:left w:val="nil"/>
              <w:bottom w:val="single" w:sz="8" w:space="0" w:color="auto"/>
              <w:right w:val="single" w:sz="8" w:space="0" w:color="auto"/>
            </w:tcBorders>
            <w:shd w:val="clear" w:color="auto" w:fill="auto"/>
            <w:noWrap/>
            <w:vAlign w:val="center"/>
            <w:hideMark/>
          </w:tcPr>
          <w:p w14:paraId="099CD577" w14:textId="77777777" w:rsidR="004D4BFA" w:rsidRPr="001122AF"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122AF">
              <w:rPr>
                <w:rFonts w:ascii="Times New Roman" w:eastAsia="Times New Roman" w:hAnsi="Times New Roman" w:cs="Times New Roman"/>
                <w:sz w:val="20"/>
                <w:szCs w:val="20"/>
                <w:lang w:val="lv-LV" w:eastAsia="lv-LV"/>
              </w:rPr>
              <w:t>Aortālā</w:t>
            </w:r>
            <w:proofErr w:type="spellEnd"/>
            <w:r w:rsidRPr="001122AF">
              <w:rPr>
                <w:rFonts w:ascii="Times New Roman" w:eastAsia="Times New Roman" w:hAnsi="Times New Roman" w:cs="Times New Roman"/>
                <w:sz w:val="20"/>
                <w:szCs w:val="20"/>
                <w:lang w:val="lv-LV" w:eastAsia="lv-LV"/>
              </w:rPr>
              <w:t xml:space="preserve"> vārstuļa </w:t>
            </w:r>
            <w:proofErr w:type="spellStart"/>
            <w:r w:rsidRPr="001122AF">
              <w:rPr>
                <w:rFonts w:ascii="Times New Roman" w:eastAsia="Times New Roman" w:hAnsi="Times New Roman" w:cs="Times New Roman"/>
                <w:sz w:val="20"/>
                <w:szCs w:val="20"/>
                <w:lang w:val="lv-LV" w:eastAsia="lv-LV"/>
              </w:rPr>
              <w:t>transkatetrāla</w:t>
            </w:r>
            <w:proofErr w:type="spellEnd"/>
            <w:r w:rsidRPr="001122AF">
              <w:rPr>
                <w:rFonts w:ascii="Times New Roman" w:eastAsia="Times New Roman" w:hAnsi="Times New Roman" w:cs="Times New Roman"/>
                <w:sz w:val="20"/>
                <w:szCs w:val="20"/>
                <w:lang w:val="lv-LV" w:eastAsia="lv-LV"/>
              </w:rPr>
              <w:t xml:space="preserve"> implantācija (TAVI)</w:t>
            </w:r>
          </w:p>
        </w:tc>
        <w:tc>
          <w:tcPr>
            <w:tcW w:w="1328" w:type="dxa"/>
            <w:tcBorders>
              <w:top w:val="nil"/>
              <w:left w:val="nil"/>
              <w:bottom w:val="single" w:sz="8" w:space="0" w:color="auto"/>
              <w:right w:val="single" w:sz="8" w:space="0" w:color="auto"/>
            </w:tcBorders>
            <w:shd w:val="clear" w:color="auto" w:fill="auto"/>
            <w:vAlign w:val="center"/>
            <w:hideMark/>
          </w:tcPr>
          <w:p w14:paraId="60B5EA01"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3DDF15E9"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25 551.13</w:t>
            </w:r>
          </w:p>
        </w:tc>
        <w:tc>
          <w:tcPr>
            <w:tcW w:w="1560" w:type="dxa"/>
            <w:tcBorders>
              <w:top w:val="nil"/>
              <w:left w:val="nil"/>
              <w:bottom w:val="single" w:sz="8" w:space="0" w:color="auto"/>
              <w:right w:val="single" w:sz="8" w:space="0" w:color="auto"/>
            </w:tcBorders>
            <w:shd w:val="clear" w:color="auto" w:fill="auto"/>
            <w:noWrap/>
            <w:vAlign w:val="center"/>
            <w:hideMark/>
          </w:tcPr>
          <w:p w14:paraId="3258548D"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eastAsia="lv-LV"/>
              </w:rPr>
              <w:t>982.16</w:t>
            </w:r>
          </w:p>
        </w:tc>
        <w:tc>
          <w:tcPr>
            <w:tcW w:w="992" w:type="dxa"/>
            <w:tcBorders>
              <w:top w:val="nil"/>
              <w:left w:val="nil"/>
              <w:bottom w:val="single" w:sz="8" w:space="0" w:color="auto"/>
              <w:right w:val="single" w:sz="8" w:space="0" w:color="auto"/>
            </w:tcBorders>
            <w:shd w:val="clear" w:color="auto" w:fill="auto"/>
            <w:noWrap/>
            <w:vAlign w:val="center"/>
            <w:hideMark/>
          </w:tcPr>
          <w:p w14:paraId="01B074F3"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809.82</w:t>
            </w:r>
          </w:p>
        </w:tc>
        <w:tc>
          <w:tcPr>
            <w:tcW w:w="1022" w:type="dxa"/>
            <w:tcBorders>
              <w:top w:val="nil"/>
              <w:left w:val="nil"/>
              <w:bottom w:val="single" w:sz="8" w:space="0" w:color="auto"/>
              <w:right w:val="single" w:sz="8" w:space="0" w:color="auto"/>
            </w:tcBorders>
            <w:shd w:val="clear" w:color="auto" w:fill="auto"/>
            <w:noWrap/>
            <w:vAlign w:val="center"/>
            <w:hideMark/>
          </w:tcPr>
          <w:p w14:paraId="69834BF1"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191.07</w:t>
            </w:r>
          </w:p>
        </w:tc>
        <w:tc>
          <w:tcPr>
            <w:tcW w:w="984" w:type="dxa"/>
            <w:tcBorders>
              <w:top w:val="nil"/>
              <w:left w:val="nil"/>
              <w:bottom w:val="single" w:sz="8" w:space="0" w:color="auto"/>
              <w:right w:val="single" w:sz="8" w:space="0" w:color="auto"/>
            </w:tcBorders>
            <w:shd w:val="clear" w:color="auto" w:fill="auto"/>
            <w:noWrap/>
            <w:vAlign w:val="center"/>
            <w:hideMark/>
          </w:tcPr>
          <w:p w14:paraId="6D054932"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207.83</w:t>
            </w:r>
          </w:p>
        </w:tc>
        <w:tc>
          <w:tcPr>
            <w:tcW w:w="984" w:type="dxa"/>
            <w:tcBorders>
              <w:top w:val="nil"/>
              <w:left w:val="nil"/>
              <w:bottom w:val="single" w:sz="8" w:space="0" w:color="auto"/>
              <w:right w:val="single" w:sz="8" w:space="0" w:color="auto"/>
            </w:tcBorders>
            <w:shd w:val="clear" w:color="auto" w:fill="auto"/>
            <w:noWrap/>
            <w:vAlign w:val="center"/>
            <w:hideMark/>
          </w:tcPr>
          <w:p w14:paraId="7ED6028A"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21.55</w:t>
            </w:r>
          </w:p>
        </w:tc>
      </w:tr>
      <w:tr w:rsidR="004D4BFA" w:rsidRPr="001122AF" w14:paraId="6082DDB8" w14:textId="77777777" w:rsidTr="004D4BFA">
        <w:trPr>
          <w:trHeight w:val="1968"/>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08750AF6" w14:textId="66B82B3A" w:rsidR="004D4BFA" w:rsidRPr="001122AF" w:rsidRDefault="004D4BFA" w:rsidP="004D4BFA">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5.</w:t>
            </w:r>
            <w:r w:rsidR="00AE1F7F">
              <w:rPr>
                <w:rFonts w:ascii="Times New Roman" w:eastAsia="Times New Roman" w:hAnsi="Times New Roman" w:cs="Times New Roman"/>
                <w:sz w:val="20"/>
                <w:szCs w:val="20"/>
                <w:lang w:val="lv-LV" w:eastAsia="lv-LV"/>
              </w:rPr>
              <w:t>6.</w:t>
            </w:r>
            <w:r w:rsidRPr="001122AF">
              <w:rPr>
                <w:rFonts w:ascii="Times New Roman" w:eastAsia="Times New Roman" w:hAnsi="Times New Roman" w:cs="Times New Roman"/>
                <w:sz w:val="20"/>
                <w:szCs w:val="20"/>
                <w:lang w:val="lv-LV" w:eastAsia="lv-LV"/>
              </w:rPr>
              <w:t>2.</w:t>
            </w:r>
          </w:p>
        </w:tc>
        <w:tc>
          <w:tcPr>
            <w:tcW w:w="1904" w:type="dxa"/>
            <w:tcBorders>
              <w:top w:val="nil"/>
              <w:left w:val="nil"/>
              <w:bottom w:val="single" w:sz="8" w:space="0" w:color="auto"/>
              <w:right w:val="single" w:sz="8" w:space="0" w:color="auto"/>
            </w:tcBorders>
            <w:shd w:val="clear" w:color="auto" w:fill="auto"/>
            <w:vAlign w:val="center"/>
            <w:hideMark/>
          </w:tcPr>
          <w:p w14:paraId="0D322A28" w14:textId="77777777" w:rsidR="004D4BFA" w:rsidRPr="001122AF" w:rsidRDefault="004D4BFA" w:rsidP="004D4BFA">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Izgulējumu, tai skaitā komplicētu ar </w:t>
            </w:r>
            <w:proofErr w:type="spellStart"/>
            <w:r w:rsidRPr="001122AF">
              <w:rPr>
                <w:rFonts w:ascii="Times New Roman" w:eastAsia="Times New Roman" w:hAnsi="Times New Roman" w:cs="Times New Roman"/>
                <w:sz w:val="20"/>
                <w:szCs w:val="20"/>
                <w:lang w:val="lv-LV" w:eastAsia="lv-LV"/>
              </w:rPr>
              <w:t>osteomielītu</w:t>
            </w:r>
            <w:proofErr w:type="spellEnd"/>
            <w:r w:rsidRPr="001122AF">
              <w:rPr>
                <w:rFonts w:ascii="Times New Roman" w:eastAsia="Times New Roman" w:hAnsi="Times New Roman" w:cs="Times New Roman"/>
                <w:sz w:val="20"/>
                <w:szCs w:val="20"/>
                <w:lang w:val="lv-LV" w:eastAsia="lv-LV"/>
              </w:rPr>
              <w:t xml:space="preserve"> un ilgstoši nedzīstošu, hronisku ādas, mīksto audu čūlu (</w:t>
            </w:r>
            <w:proofErr w:type="spellStart"/>
            <w:r w:rsidRPr="001122AF">
              <w:rPr>
                <w:rFonts w:ascii="Times New Roman" w:eastAsia="Times New Roman" w:hAnsi="Times New Roman" w:cs="Times New Roman"/>
                <w:sz w:val="20"/>
                <w:szCs w:val="20"/>
                <w:lang w:val="lv-LV" w:eastAsia="lv-LV"/>
              </w:rPr>
              <w:t>problēmbrūču</w:t>
            </w:r>
            <w:proofErr w:type="spellEnd"/>
            <w:r w:rsidRPr="001122AF">
              <w:rPr>
                <w:rFonts w:ascii="Times New Roman" w:eastAsia="Times New Roman" w:hAnsi="Times New Roman" w:cs="Times New Roman"/>
                <w:sz w:val="20"/>
                <w:szCs w:val="20"/>
                <w:lang w:val="lv-LV" w:eastAsia="lv-LV"/>
              </w:rPr>
              <w:t xml:space="preserve">) </w:t>
            </w:r>
            <w:proofErr w:type="spellStart"/>
            <w:r w:rsidRPr="001122AF">
              <w:rPr>
                <w:rFonts w:ascii="Times New Roman" w:eastAsia="Times New Roman" w:hAnsi="Times New Roman" w:cs="Times New Roman"/>
                <w:sz w:val="20"/>
                <w:szCs w:val="20"/>
                <w:lang w:val="lv-LV" w:eastAsia="lv-LV"/>
              </w:rPr>
              <w:t>mikroķirurģiskā</w:t>
            </w:r>
            <w:proofErr w:type="spellEnd"/>
            <w:r w:rsidRPr="001122AF">
              <w:rPr>
                <w:rFonts w:ascii="Times New Roman" w:eastAsia="Times New Roman" w:hAnsi="Times New Roman" w:cs="Times New Roman"/>
                <w:sz w:val="20"/>
                <w:szCs w:val="20"/>
                <w:lang w:val="lv-LV" w:eastAsia="lv-LV"/>
              </w:rPr>
              <w:t xml:space="preserve"> ārstēšanā</w:t>
            </w:r>
          </w:p>
        </w:tc>
        <w:tc>
          <w:tcPr>
            <w:tcW w:w="1328" w:type="dxa"/>
            <w:tcBorders>
              <w:top w:val="nil"/>
              <w:left w:val="nil"/>
              <w:bottom w:val="single" w:sz="8" w:space="0" w:color="auto"/>
              <w:right w:val="single" w:sz="8" w:space="0" w:color="auto"/>
            </w:tcBorders>
            <w:shd w:val="clear" w:color="auto" w:fill="auto"/>
            <w:vAlign w:val="center"/>
            <w:hideMark/>
          </w:tcPr>
          <w:p w14:paraId="5887E924"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7107F526"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20 927.08</w:t>
            </w:r>
          </w:p>
        </w:tc>
        <w:tc>
          <w:tcPr>
            <w:tcW w:w="1560" w:type="dxa"/>
            <w:tcBorders>
              <w:top w:val="nil"/>
              <w:left w:val="nil"/>
              <w:bottom w:val="single" w:sz="8" w:space="0" w:color="auto"/>
              <w:right w:val="single" w:sz="8" w:space="0" w:color="auto"/>
            </w:tcBorders>
            <w:shd w:val="clear" w:color="auto" w:fill="auto"/>
            <w:noWrap/>
            <w:vAlign w:val="center"/>
            <w:hideMark/>
          </w:tcPr>
          <w:p w14:paraId="5954A24C"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eastAsia="lv-LV"/>
              </w:rPr>
              <w:t>12 849.26</w:t>
            </w:r>
          </w:p>
        </w:tc>
        <w:tc>
          <w:tcPr>
            <w:tcW w:w="992" w:type="dxa"/>
            <w:tcBorders>
              <w:top w:val="nil"/>
              <w:left w:val="nil"/>
              <w:bottom w:val="single" w:sz="8" w:space="0" w:color="auto"/>
              <w:right w:val="single" w:sz="8" w:space="0" w:color="auto"/>
            </w:tcBorders>
            <w:shd w:val="clear" w:color="auto" w:fill="auto"/>
            <w:noWrap/>
            <w:vAlign w:val="center"/>
            <w:hideMark/>
          </w:tcPr>
          <w:p w14:paraId="1EE3223E"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8 347.79</w:t>
            </w:r>
          </w:p>
        </w:tc>
        <w:tc>
          <w:tcPr>
            <w:tcW w:w="1022" w:type="dxa"/>
            <w:tcBorders>
              <w:top w:val="nil"/>
              <w:left w:val="nil"/>
              <w:bottom w:val="single" w:sz="8" w:space="0" w:color="auto"/>
              <w:right w:val="single" w:sz="8" w:space="0" w:color="auto"/>
            </w:tcBorders>
            <w:shd w:val="clear" w:color="auto" w:fill="auto"/>
            <w:noWrap/>
            <w:vAlign w:val="center"/>
            <w:hideMark/>
          </w:tcPr>
          <w:p w14:paraId="0AA555D4"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1 969.39</w:t>
            </w:r>
          </w:p>
        </w:tc>
        <w:tc>
          <w:tcPr>
            <w:tcW w:w="984" w:type="dxa"/>
            <w:tcBorders>
              <w:top w:val="nil"/>
              <w:left w:val="nil"/>
              <w:bottom w:val="single" w:sz="8" w:space="0" w:color="auto"/>
              <w:right w:val="single" w:sz="8" w:space="0" w:color="auto"/>
            </w:tcBorders>
            <w:shd w:val="clear" w:color="auto" w:fill="auto"/>
            <w:noWrap/>
            <w:vAlign w:val="center"/>
            <w:hideMark/>
          </w:tcPr>
          <w:p w14:paraId="03DA6D6D"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2 283.94</w:t>
            </w:r>
          </w:p>
        </w:tc>
        <w:tc>
          <w:tcPr>
            <w:tcW w:w="984" w:type="dxa"/>
            <w:tcBorders>
              <w:top w:val="nil"/>
              <w:left w:val="nil"/>
              <w:bottom w:val="single" w:sz="8" w:space="0" w:color="auto"/>
              <w:right w:val="single" w:sz="8" w:space="0" w:color="auto"/>
            </w:tcBorders>
            <w:shd w:val="clear" w:color="auto" w:fill="auto"/>
            <w:noWrap/>
            <w:vAlign w:val="center"/>
            <w:hideMark/>
          </w:tcPr>
          <w:p w14:paraId="6DA4A60B"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248.14</w:t>
            </w:r>
          </w:p>
        </w:tc>
      </w:tr>
      <w:tr w:rsidR="004D4BFA" w:rsidRPr="001122AF" w14:paraId="30294918" w14:textId="77777777" w:rsidTr="004D4BFA">
        <w:trPr>
          <w:trHeight w:val="24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42429B90" w14:textId="73878435" w:rsidR="004D4BFA" w:rsidRPr="001122AF" w:rsidRDefault="004D4BFA" w:rsidP="004D4BFA">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5.6.</w:t>
            </w:r>
            <w:r w:rsidR="00AE1F7F">
              <w:rPr>
                <w:rFonts w:ascii="Times New Roman" w:eastAsia="Times New Roman" w:hAnsi="Times New Roman" w:cs="Times New Roman"/>
                <w:sz w:val="20"/>
                <w:szCs w:val="20"/>
                <w:lang w:val="lv-LV" w:eastAsia="lv-LV"/>
              </w:rPr>
              <w:t>3.</w:t>
            </w:r>
          </w:p>
        </w:tc>
        <w:tc>
          <w:tcPr>
            <w:tcW w:w="1904" w:type="dxa"/>
            <w:tcBorders>
              <w:top w:val="nil"/>
              <w:left w:val="nil"/>
              <w:bottom w:val="single" w:sz="8" w:space="0" w:color="auto"/>
              <w:right w:val="single" w:sz="8" w:space="0" w:color="auto"/>
            </w:tcBorders>
            <w:shd w:val="clear" w:color="auto" w:fill="auto"/>
            <w:vAlign w:val="center"/>
            <w:hideMark/>
          </w:tcPr>
          <w:p w14:paraId="1056B849" w14:textId="77777777" w:rsidR="004D4BFA" w:rsidRPr="001122AF" w:rsidRDefault="004D4BFA" w:rsidP="004D4BFA">
            <w:pPr>
              <w:spacing w:after="0" w:line="240" w:lineRule="auto"/>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 xml:space="preserve">Paliatīvā aprūpe </w:t>
            </w:r>
          </w:p>
        </w:tc>
        <w:tc>
          <w:tcPr>
            <w:tcW w:w="1328" w:type="dxa"/>
            <w:tcBorders>
              <w:top w:val="nil"/>
              <w:left w:val="nil"/>
              <w:bottom w:val="single" w:sz="8" w:space="0" w:color="auto"/>
              <w:right w:val="single" w:sz="8" w:space="0" w:color="auto"/>
            </w:tcBorders>
            <w:shd w:val="clear" w:color="auto" w:fill="auto"/>
            <w:vAlign w:val="center"/>
            <w:hideMark/>
          </w:tcPr>
          <w:p w14:paraId="69E87B3E"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16CCF89B"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val="lv-LV" w:eastAsia="lv-LV"/>
              </w:rPr>
              <w:t>1080.36</w:t>
            </w:r>
          </w:p>
        </w:tc>
        <w:tc>
          <w:tcPr>
            <w:tcW w:w="1560" w:type="dxa"/>
            <w:tcBorders>
              <w:top w:val="nil"/>
              <w:left w:val="nil"/>
              <w:bottom w:val="single" w:sz="8" w:space="0" w:color="auto"/>
              <w:right w:val="single" w:sz="8" w:space="0" w:color="auto"/>
            </w:tcBorders>
            <w:shd w:val="clear" w:color="auto" w:fill="auto"/>
            <w:noWrap/>
            <w:vAlign w:val="center"/>
            <w:hideMark/>
          </w:tcPr>
          <w:p w14:paraId="506A082E" w14:textId="77777777" w:rsidR="004D4BFA" w:rsidRPr="001122AF"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122AF">
              <w:rPr>
                <w:rFonts w:ascii="Times New Roman" w:eastAsia="Times New Roman" w:hAnsi="Times New Roman" w:cs="Times New Roman"/>
                <w:b/>
                <w:bCs/>
                <w:sz w:val="20"/>
                <w:szCs w:val="20"/>
                <w:lang w:eastAsia="lv-LV"/>
              </w:rPr>
              <w:t>1015.01</w:t>
            </w:r>
          </w:p>
        </w:tc>
        <w:tc>
          <w:tcPr>
            <w:tcW w:w="992" w:type="dxa"/>
            <w:tcBorders>
              <w:top w:val="nil"/>
              <w:left w:val="nil"/>
              <w:bottom w:val="single" w:sz="8" w:space="0" w:color="auto"/>
              <w:right w:val="single" w:sz="8" w:space="0" w:color="auto"/>
            </w:tcBorders>
            <w:shd w:val="clear" w:color="auto" w:fill="auto"/>
            <w:noWrap/>
            <w:vAlign w:val="center"/>
            <w:hideMark/>
          </w:tcPr>
          <w:p w14:paraId="0EC8BD8E"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681.72</w:t>
            </w:r>
          </w:p>
        </w:tc>
        <w:tc>
          <w:tcPr>
            <w:tcW w:w="1022" w:type="dxa"/>
            <w:tcBorders>
              <w:top w:val="nil"/>
              <w:left w:val="nil"/>
              <w:bottom w:val="single" w:sz="8" w:space="0" w:color="auto"/>
              <w:right w:val="single" w:sz="8" w:space="0" w:color="auto"/>
            </w:tcBorders>
            <w:shd w:val="clear" w:color="auto" w:fill="auto"/>
            <w:noWrap/>
            <w:vAlign w:val="center"/>
            <w:hideMark/>
          </w:tcPr>
          <w:p w14:paraId="461CB931"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160.84</w:t>
            </w:r>
          </w:p>
        </w:tc>
        <w:tc>
          <w:tcPr>
            <w:tcW w:w="984" w:type="dxa"/>
            <w:tcBorders>
              <w:top w:val="nil"/>
              <w:left w:val="nil"/>
              <w:bottom w:val="single" w:sz="8" w:space="0" w:color="auto"/>
              <w:right w:val="single" w:sz="8" w:space="0" w:color="auto"/>
            </w:tcBorders>
            <w:shd w:val="clear" w:color="auto" w:fill="auto"/>
            <w:noWrap/>
            <w:vAlign w:val="center"/>
            <w:hideMark/>
          </w:tcPr>
          <w:p w14:paraId="56F96703"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147.7</w:t>
            </w:r>
          </w:p>
        </w:tc>
        <w:tc>
          <w:tcPr>
            <w:tcW w:w="984" w:type="dxa"/>
            <w:tcBorders>
              <w:top w:val="nil"/>
              <w:left w:val="nil"/>
              <w:bottom w:val="single" w:sz="8" w:space="0" w:color="auto"/>
              <w:right w:val="single" w:sz="8" w:space="0" w:color="auto"/>
            </w:tcBorders>
            <w:shd w:val="clear" w:color="auto" w:fill="auto"/>
            <w:noWrap/>
            <w:vAlign w:val="center"/>
            <w:hideMark/>
          </w:tcPr>
          <w:p w14:paraId="38F1D29B" w14:textId="77777777" w:rsidR="004D4BFA" w:rsidRPr="001122AF" w:rsidRDefault="004D4BFA" w:rsidP="004D4BFA">
            <w:pPr>
              <w:spacing w:after="0" w:line="240" w:lineRule="auto"/>
              <w:jc w:val="center"/>
              <w:rPr>
                <w:rFonts w:ascii="Times New Roman" w:eastAsia="Times New Roman" w:hAnsi="Times New Roman" w:cs="Times New Roman"/>
                <w:sz w:val="20"/>
                <w:szCs w:val="20"/>
                <w:lang w:val="lv-LV" w:eastAsia="lv-LV"/>
              </w:rPr>
            </w:pPr>
            <w:r w:rsidRPr="001122AF">
              <w:rPr>
                <w:rFonts w:ascii="Times New Roman" w:eastAsia="Times New Roman" w:hAnsi="Times New Roman" w:cs="Times New Roman"/>
                <w:sz w:val="20"/>
                <w:szCs w:val="20"/>
                <w:lang w:val="lv-LV" w:eastAsia="lv-LV"/>
              </w:rPr>
              <w:t>24.75</w:t>
            </w:r>
          </w:p>
        </w:tc>
      </w:tr>
      <w:tr w:rsidR="004D4BFA" w:rsidRPr="001122AF" w14:paraId="7C8A6231" w14:textId="77777777" w:rsidTr="004D4BFA">
        <w:trPr>
          <w:trHeight w:val="1749"/>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508F8519" w14:textId="460B93C6" w:rsidR="004D4BFA" w:rsidRPr="006F197D" w:rsidRDefault="004D4BFA" w:rsidP="004D4BFA">
            <w:pPr>
              <w:spacing w:after="0" w:line="240" w:lineRule="auto"/>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lastRenderedPageBreak/>
              <w:t>5.</w:t>
            </w:r>
            <w:r w:rsidR="00AE1F7F">
              <w:rPr>
                <w:rFonts w:ascii="Times New Roman" w:eastAsia="Times New Roman" w:hAnsi="Times New Roman" w:cs="Times New Roman"/>
                <w:sz w:val="20"/>
                <w:szCs w:val="20"/>
                <w:lang w:val="lv-LV" w:eastAsia="lv-LV"/>
              </w:rPr>
              <w:t>6.4</w:t>
            </w:r>
            <w:r w:rsidRPr="006F197D">
              <w:rPr>
                <w:rFonts w:ascii="Times New Roman" w:eastAsia="Times New Roman" w:hAnsi="Times New Roman" w:cs="Times New Roman"/>
                <w:sz w:val="20"/>
                <w:szCs w:val="20"/>
                <w:lang w:val="lv-LV" w:eastAsia="lv-LV"/>
              </w:rPr>
              <w:t>.</w:t>
            </w:r>
          </w:p>
        </w:tc>
        <w:tc>
          <w:tcPr>
            <w:tcW w:w="1904" w:type="dxa"/>
            <w:tcBorders>
              <w:top w:val="nil"/>
              <w:left w:val="nil"/>
              <w:bottom w:val="single" w:sz="8" w:space="0" w:color="auto"/>
              <w:right w:val="single" w:sz="8" w:space="0" w:color="auto"/>
            </w:tcBorders>
            <w:shd w:val="clear" w:color="auto" w:fill="auto"/>
            <w:vAlign w:val="center"/>
            <w:hideMark/>
          </w:tcPr>
          <w:p w14:paraId="2CF1DDEF" w14:textId="77777777" w:rsidR="004D4BFA" w:rsidRPr="006F197D"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6F197D">
              <w:rPr>
                <w:rFonts w:ascii="Times New Roman" w:eastAsia="Times New Roman" w:hAnsi="Times New Roman" w:cs="Times New Roman"/>
                <w:sz w:val="20"/>
                <w:szCs w:val="20"/>
                <w:lang w:eastAsia="lv-LV"/>
              </w:rPr>
              <w:t>Psihiatriskā</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palīdzība</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stacionārā</w:t>
            </w:r>
            <w:proofErr w:type="spellEnd"/>
            <w:r w:rsidRPr="006F197D">
              <w:rPr>
                <w:rFonts w:ascii="Times New Roman" w:eastAsia="Times New Roman" w:hAnsi="Times New Roman" w:cs="Times New Roman"/>
                <w:sz w:val="20"/>
                <w:szCs w:val="20"/>
                <w:lang w:eastAsia="lv-LV"/>
              </w:rPr>
              <w:t xml:space="preserve"> - </w:t>
            </w:r>
            <w:proofErr w:type="spellStart"/>
            <w:r w:rsidRPr="006F197D">
              <w:rPr>
                <w:rFonts w:ascii="Times New Roman" w:eastAsia="Times New Roman" w:hAnsi="Times New Roman" w:cs="Times New Roman"/>
                <w:sz w:val="20"/>
                <w:szCs w:val="20"/>
                <w:lang w:eastAsia="lv-LV"/>
              </w:rPr>
              <w:t>psihiatriskā</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palīdzība</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bērniem</w:t>
            </w:r>
            <w:proofErr w:type="spellEnd"/>
          </w:p>
        </w:tc>
        <w:tc>
          <w:tcPr>
            <w:tcW w:w="1328" w:type="dxa"/>
            <w:tcBorders>
              <w:top w:val="nil"/>
              <w:left w:val="nil"/>
              <w:bottom w:val="single" w:sz="8" w:space="0" w:color="auto"/>
              <w:right w:val="single" w:sz="8" w:space="0" w:color="auto"/>
            </w:tcBorders>
            <w:shd w:val="clear" w:color="auto" w:fill="auto"/>
            <w:vAlign w:val="center"/>
            <w:hideMark/>
          </w:tcPr>
          <w:p w14:paraId="55DBE919" w14:textId="77777777" w:rsidR="004D4BFA" w:rsidRPr="006F197D" w:rsidRDefault="004D4BFA" w:rsidP="004D4BFA">
            <w:pPr>
              <w:spacing w:after="0" w:line="240" w:lineRule="auto"/>
              <w:jc w:val="center"/>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 xml:space="preserve">ne vairāk kā 15% no iepriekšējā pārskata perioda </w:t>
            </w:r>
            <w:proofErr w:type="spellStart"/>
            <w:r w:rsidRPr="006F197D">
              <w:rPr>
                <w:rFonts w:ascii="Times New Roman" w:eastAsia="Times New Roman" w:hAnsi="Times New Roman" w:cs="Times New Roman"/>
                <w:sz w:val="20"/>
                <w:szCs w:val="20"/>
                <w:lang w:val="lv-LV" w:eastAsia="lv-LV"/>
              </w:rPr>
              <w:t>fakstiskās</w:t>
            </w:r>
            <w:proofErr w:type="spellEnd"/>
            <w:r w:rsidRPr="006F197D">
              <w:rPr>
                <w:rFonts w:ascii="Times New Roman" w:eastAsia="Times New Roman" w:hAnsi="Times New Roman" w:cs="Times New Roman"/>
                <w:sz w:val="20"/>
                <w:szCs w:val="20"/>
                <w:lang w:val="lv-LV" w:eastAsia="lv-LV"/>
              </w:rPr>
              <w:t xml:space="preserve"> izpildes</w:t>
            </w:r>
          </w:p>
        </w:tc>
        <w:tc>
          <w:tcPr>
            <w:tcW w:w="1134" w:type="dxa"/>
            <w:tcBorders>
              <w:top w:val="nil"/>
              <w:left w:val="nil"/>
              <w:bottom w:val="single" w:sz="8" w:space="0" w:color="auto"/>
              <w:right w:val="single" w:sz="8" w:space="0" w:color="auto"/>
            </w:tcBorders>
            <w:shd w:val="clear" w:color="auto" w:fill="auto"/>
            <w:noWrap/>
            <w:vAlign w:val="center"/>
            <w:hideMark/>
          </w:tcPr>
          <w:p w14:paraId="708A44A9" w14:textId="77777777" w:rsidR="004D4BFA" w:rsidRPr="006F197D"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6F197D">
              <w:rPr>
                <w:rFonts w:ascii="Times New Roman" w:eastAsia="Times New Roman" w:hAnsi="Times New Roman" w:cs="Times New Roman"/>
                <w:b/>
                <w:bCs/>
                <w:sz w:val="20"/>
                <w:szCs w:val="20"/>
                <w:lang w:val="lv-LV" w:eastAsia="lv-LV"/>
              </w:rPr>
              <w:t>1899.63</w:t>
            </w:r>
          </w:p>
        </w:tc>
        <w:tc>
          <w:tcPr>
            <w:tcW w:w="1560" w:type="dxa"/>
            <w:tcBorders>
              <w:top w:val="nil"/>
              <w:left w:val="nil"/>
              <w:bottom w:val="single" w:sz="8" w:space="0" w:color="auto"/>
              <w:right w:val="single" w:sz="8" w:space="0" w:color="auto"/>
            </w:tcBorders>
            <w:shd w:val="clear" w:color="auto" w:fill="auto"/>
            <w:noWrap/>
            <w:vAlign w:val="center"/>
            <w:hideMark/>
          </w:tcPr>
          <w:p w14:paraId="03790CC5" w14:textId="77777777" w:rsidR="004D4BFA" w:rsidRPr="006F197D"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6F197D">
              <w:rPr>
                <w:rFonts w:ascii="Times New Roman" w:eastAsia="Times New Roman" w:hAnsi="Times New Roman" w:cs="Times New Roman"/>
                <w:b/>
                <w:bCs/>
                <w:sz w:val="20"/>
                <w:szCs w:val="20"/>
                <w:lang w:eastAsia="lv-LV"/>
              </w:rPr>
              <w:t>1766.34</w:t>
            </w:r>
          </w:p>
        </w:tc>
        <w:tc>
          <w:tcPr>
            <w:tcW w:w="992" w:type="dxa"/>
            <w:tcBorders>
              <w:top w:val="nil"/>
              <w:left w:val="nil"/>
              <w:bottom w:val="single" w:sz="8" w:space="0" w:color="auto"/>
              <w:right w:val="single" w:sz="8" w:space="0" w:color="auto"/>
            </w:tcBorders>
            <w:shd w:val="clear" w:color="auto" w:fill="auto"/>
            <w:noWrap/>
            <w:vAlign w:val="center"/>
            <w:hideMark/>
          </w:tcPr>
          <w:p w14:paraId="55EBA154"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1222.08</w:t>
            </w:r>
          </w:p>
        </w:tc>
        <w:tc>
          <w:tcPr>
            <w:tcW w:w="1022" w:type="dxa"/>
            <w:tcBorders>
              <w:top w:val="nil"/>
              <w:left w:val="nil"/>
              <w:bottom w:val="single" w:sz="8" w:space="0" w:color="auto"/>
              <w:right w:val="single" w:sz="8" w:space="0" w:color="auto"/>
            </w:tcBorders>
            <w:shd w:val="clear" w:color="auto" w:fill="auto"/>
            <w:noWrap/>
            <w:vAlign w:val="center"/>
            <w:hideMark/>
          </w:tcPr>
          <w:p w14:paraId="4B990375"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288.29</w:t>
            </w:r>
          </w:p>
        </w:tc>
        <w:tc>
          <w:tcPr>
            <w:tcW w:w="984" w:type="dxa"/>
            <w:tcBorders>
              <w:top w:val="nil"/>
              <w:left w:val="nil"/>
              <w:bottom w:val="single" w:sz="8" w:space="0" w:color="auto"/>
              <w:right w:val="single" w:sz="8" w:space="0" w:color="auto"/>
            </w:tcBorders>
            <w:shd w:val="clear" w:color="auto" w:fill="auto"/>
            <w:noWrap/>
            <w:vAlign w:val="center"/>
            <w:hideMark/>
          </w:tcPr>
          <w:p w14:paraId="48268794"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219.16</w:t>
            </w:r>
          </w:p>
        </w:tc>
        <w:tc>
          <w:tcPr>
            <w:tcW w:w="984" w:type="dxa"/>
            <w:tcBorders>
              <w:top w:val="nil"/>
              <w:left w:val="nil"/>
              <w:bottom w:val="single" w:sz="8" w:space="0" w:color="auto"/>
              <w:right w:val="single" w:sz="8" w:space="0" w:color="auto"/>
            </w:tcBorders>
            <w:shd w:val="clear" w:color="auto" w:fill="auto"/>
            <w:noWrap/>
            <w:vAlign w:val="center"/>
            <w:hideMark/>
          </w:tcPr>
          <w:p w14:paraId="092C1E13"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36.81</w:t>
            </w:r>
          </w:p>
        </w:tc>
      </w:tr>
      <w:tr w:rsidR="004D4BFA" w:rsidRPr="001122AF" w14:paraId="02633CE0" w14:textId="77777777" w:rsidTr="004D4BFA">
        <w:trPr>
          <w:trHeight w:val="1749"/>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63E5E0D8" w14:textId="4BBC3716" w:rsidR="004D4BFA" w:rsidRPr="006F197D" w:rsidRDefault="004D4BFA" w:rsidP="004D4BFA">
            <w:pPr>
              <w:spacing w:after="0" w:line="240" w:lineRule="auto"/>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5.</w:t>
            </w:r>
            <w:r w:rsidR="00AE1F7F">
              <w:rPr>
                <w:rFonts w:ascii="Times New Roman" w:eastAsia="Times New Roman" w:hAnsi="Times New Roman" w:cs="Times New Roman"/>
                <w:sz w:val="20"/>
                <w:szCs w:val="20"/>
                <w:lang w:val="lv-LV" w:eastAsia="lv-LV"/>
              </w:rPr>
              <w:t>6.5</w:t>
            </w:r>
            <w:r w:rsidRPr="006F197D">
              <w:rPr>
                <w:rFonts w:ascii="Times New Roman" w:eastAsia="Times New Roman" w:hAnsi="Times New Roman" w:cs="Times New Roman"/>
                <w:sz w:val="20"/>
                <w:szCs w:val="20"/>
                <w:lang w:val="lv-LV" w:eastAsia="lv-LV"/>
              </w:rPr>
              <w:t>.</w:t>
            </w:r>
          </w:p>
        </w:tc>
        <w:tc>
          <w:tcPr>
            <w:tcW w:w="1904" w:type="dxa"/>
            <w:tcBorders>
              <w:top w:val="nil"/>
              <w:left w:val="nil"/>
              <w:bottom w:val="single" w:sz="8" w:space="0" w:color="auto"/>
              <w:right w:val="single" w:sz="8" w:space="0" w:color="auto"/>
            </w:tcBorders>
            <w:shd w:val="clear" w:color="auto" w:fill="auto"/>
            <w:vAlign w:val="center"/>
            <w:hideMark/>
          </w:tcPr>
          <w:p w14:paraId="04EF9FCE" w14:textId="77777777" w:rsidR="004D4BFA" w:rsidRPr="006F197D"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6F197D">
              <w:rPr>
                <w:rFonts w:ascii="Times New Roman" w:eastAsia="Times New Roman" w:hAnsi="Times New Roman" w:cs="Times New Roman"/>
                <w:sz w:val="20"/>
                <w:szCs w:val="20"/>
                <w:lang w:eastAsia="lv-LV"/>
              </w:rPr>
              <w:t>Psihiatriskā</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palīdzība</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stacionārā</w:t>
            </w:r>
            <w:proofErr w:type="spellEnd"/>
            <w:r w:rsidRPr="006F197D">
              <w:rPr>
                <w:rFonts w:ascii="Times New Roman" w:eastAsia="Times New Roman" w:hAnsi="Times New Roman" w:cs="Times New Roman"/>
                <w:sz w:val="20"/>
                <w:szCs w:val="20"/>
                <w:lang w:eastAsia="lv-LV"/>
              </w:rPr>
              <w:t xml:space="preserve">, tai </w:t>
            </w:r>
            <w:proofErr w:type="spellStart"/>
            <w:r w:rsidRPr="006F197D">
              <w:rPr>
                <w:rFonts w:ascii="Times New Roman" w:eastAsia="Times New Roman" w:hAnsi="Times New Roman" w:cs="Times New Roman"/>
                <w:sz w:val="20"/>
                <w:szCs w:val="20"/>
                <w:lang w:eastAsia="lv-LV"/>
              </w:rPr>
              <w:t>skaitā</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pēc</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tiesas</w:t>
            </w:r>
            <w:proofErr w:type="spellEnd"/>
            <w:r w:rsidRPr="006F197D">
              <w:rPr>
                <w:rFonts w:ascii="Times New Roman" w:eastAsia="Times New Roman" w:hAnsi="Times New Roman" w:cs="Times New Roman"/>
                <w:sz w:val="20"/>
                <w:szCs w:val="20"/>
                <w:lang w:eastAsia="lv-LV"/>
              </w:rPr>
              <w:t xml:space="preserve"> </w:t>
            </w:r>
            <w:proofErr w:type="spellStart"/>
            <w:r w:rsidRPr="006F197D">
              <w:rPr>
                <w:rFonts w:ascii="Times New Roman" w:eastAsia="Times New Roman" w:hAnsi="Times New Roman" w:cs="Times New Roman"/>
                <w:sz w:val="20"/>
                <w:szCs w:val="20"/>
                <w:lang w:eastAsia="lv-LV"/>
              </w:rPr>
              <w:t>lēmuma</w:t>
            </w:r>
            <w:proofErr w:type="spellEnd"/>
          </w:p>
        </w:tc>
        <w:tc>
          <w:tcPr>
            <w:tcW w:w="1328" w:type="dxa"/>
            <w:tcBorders>
              <w:top w:val="nil"/>
              <w:left w:val="nil"/>
              <w:bottom w:val="single" w:sz="8" w:space="0" w:color="auto"/>
              <w:right w:val="single" w:sz="8" w:space="0" w:color="auto"/>
            </w:tcBorders>
            <w:shd w:val="clear" w:color="auto" w:fill="auto"/>
            <w:vAlign w:val="center"/>
            <w:hideMark/>
          </w:tcPr>
          <w:p w14:paraId="77D2536F" w14:textId="77777777" w:rsidR="004D4BFA" w:rsidRPr="006F197D" w:rsidRDefault="004D4BFA" w:rsidP="004D4BFA">
            <w:pPr>
              <w:spacing w:after="0" w:line="240" w:lineRule="auto"/>
              <w:jc w:val="center"/>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 xml:space="preserve">ne vairāk kā 15% no iepriekšējā pārskata perioda </w:t>
            </w:r>
            <w:proofErr w:type="spellStart"/>
            <w:r w:rsidRPr="006F197D">
              <w:rPr>
                <w:rFonts w:ascii="Times New Roman" w:eastAsia="Times New Roman" w:hAnsi="Times New Roman" w:cs="Times New Roman"/>
                <w:sz w:val="20"/>
                <w:szCs w:val="20"/>
                <w:lang w:val="lv-LV" w:eastAsia="lv-LV"/>
              </w:rPr>
              <w:t>fakstiskās</w:t>
            </w:r>
            <w:proofErr w:type="spellEnd"/>
            <w:r w:rsidRPr="006F197D">
              <w:rPr>
                <w:rFonts w:ascii="Times New Roman" w:eastAsia="Times New Roman" w:hAnsi="Times New Roman" w:cs="Times New Roman"/>
                <w:sz w:val="20"/>
                <w:szCs w:val="20"/>
                <w:lang w:val="lv-LV" w:eastAsia="lv-LV"/>
              </w:rPr>
              <w:t xml:space="preserve"> izpildes</w:t>
            </w:r>
          </w:p>
        </w:tc>
        <w:tc>
          <w:tcPr>
            <w:tcW w:w="1134" w:type="dxa"/>
            <w:tcBorders>
              <w:top w:val="nil"/>
              <w:left w:val="nil"/>
              <w:bottom w:val="single" w:sz="8" w:space="0" w:color="auto"/>
              <w:right w:val="single" w:sz="8" w:space="0" w:color="auto"/>
            </w:tcBorders>
            <w:shd w:val="clear" w:color="auto" w:fill="auto"/>
            <w:noWrap/>
            <w:vAlign w:val="center"/>
            <w:hideMark/>
          </w:tcPr>
          <w:p w14:paraId="5AD7D2F7" w14:textId="77777777" w:rsidR="004D4BFA" w:rsidRPr="006F197D"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6F197D">
              <w:rPr>
                <w:rFonts w:ascii="Times New Roman" w:eastAsia="Times New Roman" w:hAnsi="Times New Roman" w:cs="Times New Roman"/>
                <w:b/>
                <w:bCs/>
                <w:sz w:val="20"/>
                <w:szCs w:val="20"/>
                <w:lang w:val="lv-LV" w:eastAsia="lv-LV"/>
              </w:rPr>
              <w:t>2462.11</w:t>
            </w:r>
          </w:p>
        </w:tc>
        <w:tc>
          <w:tcPr>
            <w:tcW w:w="1560" w:type="dxa"/>
            <w:tcBorders>
              <w:top w:val="nil"/>
              <w:left w:val="nil"/>
              <w:bottom w:val="single" w:sz="8" w:space="0" w:color="auto"/>
              <w:right w:val="single" w:sz="8" w:space="0" w:color="auto"/>
            </w:tcBorders>
            <w:shd w:val="clear" w:color="auto" w:fill="auto"/>
            <w:noWrap/>
            <w:vAlign w:val="center"/>
            <w:hideMark/>
          </w:tcPr>
          <w:p w14:paraId="24C5417F" w14:textId="77777777" w:rsidR="004D4BFA" w:rsidRPr="006F197D"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6F197D">
              <w:rPr>
                <w:rFonts w:ascii="Times New Roman" w:eastAsia="Times New Roman" w:hAnsi="Times New Roman" w:cs="Times New Roman"/>
                <w:b/>
                <w:bCs/>
                <w:sz w:val="20"/>
                <w:szCs w:val="20"/>
                <w:lang w:eastAsia="lv-LV"/>
              </w:rPr>
              <w:t>2288.69</w:t>
            </w:r>
          </w:p>
        </w:tc>
        <w:tc>
          <w:tcPr>
            <w:tcW w:w="992" w:type="dxa"/>
            <w:tcBorders>
              <w:top w:val="nil"/>
              <w:left w:val="nil"/>
              <w:bottom w:val="single" w:sz="8" w:space="0" w:color="auto"/>
              <w:right w:val="single" w:sz="8" w:space="0" w:color="auto"/>
            </w:tcBorders>
            <w:shd w:val="clear" w:color="auto" w:fill="auto"/>
            <w:noWrap/>
            <w:vAlign w:val="center"/>
            <w:hideMark/>
          </w:tcPr>
          <w:p w14:paraId="3E6E70F7"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1583.47</w:t>
            </w:r>
          </w:p>
        </w:tc>
        <w:tc>
          <w:tcPr>
            <w:tcW w:w="1022" w:type="dxa"/>
            <w:tcBorders>
              <w:top w:val="nil"/>
              <w:left w:val="nil"/>
              <w:bottom w:val="single" w:sz="8" w:space="0" w:color="auto"/>
              <w:right w:val="single" w:sz="8" w:space="0" w:color="auto"/>
            </w:tcBorders>
            <w:shd w:val="clear" w:color="auto" w:fill="auto"/>
            <w:noWrap/>
            <w:vAlign w:val="center"/>
            <w:hideMark/>
          </w:tcPr>
          <w:p w14:paraId="2DF086AD"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373.55</w:t>
            </w:r>
          </w:p>
        </w:tc>
        <w:tc>
          <w:tcPr>
            <w:tcW w:w="984" w:type="dxa"/>
            <w:tcBorders>
              <w:top w:val="nil"/>
              <w:left w:val="nil"/>
              <w:bottom w:val="single" w:sz="8" w:space="0" w:color="auto"/>
              <w:right w:val="single" w:sz="8" w:space="0" w:color="auto"/>
            </w:tcBorders>
            <w:shd w:val="clear" w:color="auto" w:fill="auto"/>
            <w:noWrap/>
            <w:vAlign w:val="center"/>
            <w:hideMark/>
          </w:tcPr>
          <w:p w14:paraId="7F6B779B"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283.98</w:t>
            </w:r>
          </w:p>
        </w:tc>
        <w:tc>
          <w:tcPr>
            <w:tcW w:w="984" w:type="dxa"/>
            <w:tcBorders>
              <w:top w:val="nil"/>
              <w:left w:val="nil"/>
              <w:bottom w:val="single" w:sz="8" w:space="0" w:color="auto"/>
              <w:right w:val="single" w:sz="8" w:space="0" w:color="auto"/>
            </w:tcBorders>
            <w:shd w:val="clear" w:color="auto" w:fill="auto"/>
            <w:noWrap/>
            <w:vAlign w:val="center"/>
            <w:hideMark/>
          </w:tcPr>
          <w:p w14:paraId="58D87090" w14:textId="77777777" w:rsidR="004D4BFA" w:rsidRPr="006F197D" w:rsidRDefault="004D4BFA" w:rsidP="004D4BFA">
            <w:pPr>
              <w:spacing w:after="0" w:line="240" w:lineRule="auto"/>
              <w:jc w:val="right"/>
              <w:rPr>
                <w:rFonts w:ascii="Times New Roman" w:eastAsia="Times New Roman" w:hAnsi="Times New Roman" w:cs="Times New Roman"/>
                <w:sz w:val="20"/>
                <w:szCs w:val="20"/>
                <w:lang w:val="lv-LV" w:eastAsia="lv-LV"/>
              </w:rPr>
            </w:pPr>
            <w:r w:rsidRPr="006F197D">
              <w:rPr>
                <w:rFonts w:ascii="Times New Roman" w:eastAsia="Times New Roman" w:hAnsi="Times New Roman" w:cs="Times New Roman"/>
                <w:sz w:val="20"/>
                <w:szCs w:val="20"/>
                <w:lang w:val="lv-LV" w:eastAsia="lv-LV"/>
              </w:rPr>
              <w:t>47.69</w:t>
            </w:r>
          </w:p>
        </w:tc>
      </w:tr>
    </w:tbl>
    <w:p w14:paraId="5A33E92F" w14:textId="77777777" w:rsidR="00FA2B77" w:rsidRDefault="00FA2B77" w:rsidP="00FA2B77">
      <w:pPr>
        <w:pStyle w:val="tv213"/>
        <w:shd w:val="clear" w:color="auto" w:fill="FFFFFF"/>
        <w:spacing w:before="0" w:beforeAutospacing="0" w:after="0" w:afterAutospacing="0"/>
        <w:ind w:left="720"/>
        <w:jc w:val="both"/>
        <w:rPr>
          <w:rFonts w:eastAsiaTheme="minorHAnsi"/>
          <w:szCs w:val="22"/>
          <w:lang w:eastAsia="en-US"/>
        </w:rPr>
      </w:pPr>
    </w:p>
    <w:p w14:paraId="3911018A" w14:textId="134A9F8F" w:rsidR="008B6611" w:rsidRPr="001122AF" w:rsidRDefault="008B6611" w:rsidP="001543D8">
      <w:pPr>
        <w:pStyle w:val="tv213"/>
        <w:numPr>
          <w:ilvl w:val="0"/>
          <w:numId w:val="8"/>
        </w:numPr>
        <w:shd w:val="clear" w:color="auto" w:fill="FFFFFF"/>
        <w:spacing w:before="0" w:beforeAutospacing="0" w:after="0" w:afterAutospacing="0"/>
        <w:jc w:val="both"/>
        <w:rPr>
          <w:rFonts w:eastAsiaTheme="minorHAnsi"/>
          <w:szCs w:val="22"/>
          <w:lang w:eastAsia="en-US"/>
        </w:rPr>
      </w:pPr>
      <w:r w:rsidRPr="001122AF">
        <w:rPr>
          <w:rFonts w:eastAsiaTheme="minorHAnsi"/>
          <w:szCs w:val="22"/>
          <w:lang w:eastAsia="en-US"/>
        </w:rPr>
        <w:t xml:space="preserve">Vērtējot izmaksājamo kompensācijas </w:t>
      </w:r>
      <w:r w:rsidR="006F76C0" w:rsidRPr="001122AF">
        <w:rPr>
          <w:rFonts w:eastAsiaTheme="minorHAnsi"/>
          <w:szCs w:val="22"/>
          <w:lang w:eastAsia="en-US"/>
        </w:rPr>
        <w:t>maksājuma apmēru</w:t>
      </w:r>
      <w:r w:rsidRPr="001122AF">
        <w:rPr>
          <w:rFonts w:eastAsiaTheme="minorHAnsi"/>
          <w:szCs w:val="22"/>
          <w:lang w:eastAsia="en-US"/>
        </w:rPr>
        <w:t xml:space="preserve"> par plānveida stacionārajiem veselības aprūpes pakalpojumiem, </w:t>
      </w:r>
      <w:r w:rsidR="006F76C0" w:rsidRPr="001122AF">
        <w:rPr>
          <w:rFonts w:eastAsiaTheme="minorHAnsi"/>
          <w:szCs w:val="22"/>
          <w:lang w:eastAsia="en-US"/>
        </w:rPr>
        <w:t xml:space="preserve">DIENESTS ņem vērā arī IZPILDĪTĀJA </w:t>
      </w:r>
      <w:r w:rsidR="00E52AB8" w:rsidRPr="001122AF">
        <w:rPr>
          <w:rFonts w:eastAsiaTheme="minorHAnsi"/>
          <w:szCs w:val="22"/>
          <w:lang w:eastAsia="en-US"/>
        </w:rPr>
        <w:t xml:space="preserve">sniegto dienas stacionāra pakalpojumu apjomu un </w:t>
      </w:r>
      <w:r w:rsidR="006F76C0" w:rsidRPr="001122AF">
        <w:rPr>
          <w:rFonts w:eastAsiaTheme="minorHAnsi"/>
          <w:szCs w:val="22"/>
          <w:lang w:eastAsia="en-US"/>
        </w:rPr>
        <w:t xml:space="preserve">saņemto samaksu par dienas stacionārā sniegtajiem pakalpojumiem. </w:t>
      </w:r>
      <w:r w:rsidR="003A3E7A" w:rsidRPr="001122AF">
        <w:rPr>
          <w:rFonts w:eastAsiaTheme="minorHAnsi"/>
          <w:szCs w:val="22"/>
          <w:lang w:eastAsia="en-US"/>
        </w:rPr>
        <w:t xml:space="preserve">Ja kopējie ienākumi no dienas stacionāra, plānveida stacionāro veselības aprūpes pakalpojumu programmām un Covid-19 pacientu </w:t>
      </w:r>
      <w:r w:rsidR="003A3E7A" w:rsidRPr="00504DA0">
        <w:rPr>
          <w:rFonts w:eastAsiaTheme="minorHAnsi"/>
          <w:szCs w:val="22"/>
          <w:lang w:eastAsia="en-US"/>
        </w:rPr>
        <w:t>ārstēšanas</w:t>
      </w:r>
      <w:r w:rsidR="00FA2B77" w:rsidRPr="00504DA0">
        <w:rPr>
          <w:rFonts w:eastAsiaTheme="minorHAnsi"/>
          <w:szCs w:val="22"/>
          <w:lang w:eastAsia="en-US"/>
        </w:rPr>
        <w:t xml:space="preserve"> (</w:t>
      </w:r>
      <w:r w:rsidR="00504DA0" w:rsidRPr="00504DA0">
        <w:rPr>
          <w:rFonts w:eastAsiaTheme="minorHAnsi"/>
          <w:szCs w:val="22"/>
          <w:lang w:eastAsia="en-US"/>
        </w:rPr>
        <w:t>a</w:t>
      </w:r>
      <w:r w:rsidR="00504DA0">
        <w:rPr>
          <w:rFonts w:eastAsiaTheme="minorHAnsi"/>
          <w:szCs w:val="22"/>
          <w:lang w:eastAsia="en-US"/>
        </w:rPr>
        <w:t>tbilstoši tarifu elementu pozīcijām)</w:t>
      </w:r>
      <w:r w:rsidR="003A3E7A" w:rsidRPr="001122AF">
        <w:rPr>
          <w:rFonts w:eastAsiaTheme="minorHAnsi"/>
          <w:szCs w:val="22"/>
          <w:lang w:eastAsia="en-US"/>
        </w:rPr>
        <w:t xml:space="preserve"> pārsniedz kopējos zaudējumus, tad kompensācijas maksājums netiek izmaksāts. </w:t>
      </w:r>
    </w:p>
    <w:p w14:paraId="01BE008D" w14:textId="67966D60" w:rsidR="00D12A51" w:rsidRPr="001122AF" w:rsidRDefault="00D12A51" w:rsidP="00791DEE">
      <w:pPr>
        <w:pStyle w:val="tv213"/>
        <w:shd w:val="clear" w:color="auto" w:fill="FFFFFF"/>
        <w:spacing w:before="0" w:beforeAutospacing="0" w:after="0" w:afterAutospacing="0"/>
        <w:ind w:left="720"/>
        <w:jc w:val="both"/>
        <w:rPr>
          <w:rFonts w:eastAsiaTheme="minorHAnsi"/>
          <w:szCs w:val="22"/>
          <w:lang w:eastAsia="en-US"/>
        </w:rPr>
      </w:pPr>
    </w:p>
    <w:p w14:paraId="500C630F" w14:textId="50953AC7" w:rsidR="00D12A51" w:rsidRPr="001122AF" w:rsidRDefault="0062200E" w:rsidP="00D12A51">
      <w:pPr>
        <w:pStyle w:val="tv213"/>
        <w:numPr>
          <w:ilvl w:val="0"/>
          <w:numId w:val="8"/>
        </w:numPr>
        <w:shd w:val="clear" w:color="auto" w:fill="FFFFFF"/>
        <w:spacing w:before="0" w:beforeAutospacing="0" w:after="0" w:afterAutospacing="0"/>
        <w:jc w:val="both"/>
        <w:rPr>
          <w:rFonts w:eastAsiaTheme="minorHAnsi"/>
          <w:szCs w:val="22"/>
          <w:lang w:eastAsia="en-US"/>
        </w:rPr>
      </w:pPr>
      <w:r w:rsidRPr="001122AF">
        <w:t>Ārstniecības iestādēm</w:t>
      </w:r>
      <w:r w:rsidR="006A373E" w:rsidRPr="001122AF">
        <w:t xml:space="preserve">, kas </w:t>
      </w:r>
      <w:r w:rsidR="00744FCA" w:rsidRPr="001122AF">
        <w:t>atbilstoši MK 555 248. punktam tiek piesaistīta uz laiku sniegt stacionāros veselības aprūpes pakalpojumus</w:t>
      </w:r>
      <w:r w:rsidR="007A7D8C" w:rsidRPr="001122AF">
        <w:t>, kompensācijas maksājums gatavības režīma nodrošināšanai par Covid 19 pacientu ārstēšanu tiek aprēķināts un izmaksāts</w:t>
      </w:r>
      <w:r w:rsidR="00D12A51" w:rsidRPr="001122AF">
        <w:t xml:space="preserve"> atbilstoši līguma nosacījumiem.</w:t>
      </w:r>
    </w:p>
    <w:p w14:paraId="33E7C666" w14:textId="0C2E9225" w:rsidR="007A7D8C" w:rsidRPr="00720384" w:rsidRDefault="007A7D8C" w:rsidP="00791DEE">
      <w:pPr>
        <w:pStyle w:val="tv213"/>
        <w:shd w:val="clear" w:color="auto" w:fill="FFFFFF"/>
        <w:spacing w:before="0" w:beforeAutospacing="0" w:after="0" w:afterAutospacing="0"/>
        <w:ind w:left="720"/>
        <w:jc w:val="both"/>
        <w:rPr>
          <w:rFonts w:eastAsiaTheme="minorHAnsi"/>
          <w:szCs w:val="22"/>
          <w:highlight w:val="cyan"/>
          <w:lang w:eastAsia="en-US"/>
        </w:rPr>
      </w:pPr>
    </w:p>
    <w:p w14:paraId="356F9865" w14:textId="2175A393" w:rsidR="001543D8" w:rsidRPr="001543D8" w:rsidRDefault="00F12FB7" w:rsidP="001543D8">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rPr>
          <w:rFonts w:eastAsiaTheme="minorHAnsi"/>
          <w:szCs w:val="22"/>
          <w:lang w:eastAsia="en-US"/>
        </w:rPr>
        <w:t xml:space="preserve">Pārējie maksājumi, kas netiek minēti šajā dokumentā, tiek veikti atbilstoši Noteikumos un </w:t>
      </w:r>
      <w:r w:rsidR="00482A1A" w:rsidRPr="001543D8">
        <w:rPr>
          <w:rFonts w:eastAsiaTheme="minorHAnsi"/>
          <w:szCs w:val="22"/>
          <w:lang w:eastAsia="en-US"/>
        </w:rPr>
        <w:t>l</w:t>
      </w:r>
      <w:r w:rsidRPr="001543D8">
        <w:rPr>
          <w:rFonts w:eastAsiaTheme="minorHAnsi"/>
          <w:szCs w:val="22"/>
          <w:lang w:eastAsia="en-US"/>
        </w:rPr>
        <w:t>īgumā noteiktajam.</w:t>
      </w:r>
    </w:p>
    <w:p w14:paraId="50FF1212" w14:textId="77777777" w:rsidR="00591FC6" w:rsidRPr="001543D8" w:rsidRDefault="00591FC6" w:rsidP="0047558C">
      <w:pPr>
        <w:pStyle w:val="tv213"/>
        <w:shd w:val="clear" w:color="auto" w:fill="FFFFFF"/>
        <w:spacing w:before="0" w:beforeAutospacing="0" w:after="0" w:afterAutospacing="0"/>
        <w:jc w:val="both"/>
        <w:rPr>
          <w:rFonts w:eastAsiaTheme="minorHAnsi"/>
          <w:szCs w:val="22"/>
          <w:lang w:eastAsia="en-US"/>
        </w:rPr>
      </w:pPr>
    </w:p>
    <w:p w14:paraId="7338E75C" w14:textId="23416FE2" w:rsidR="00601D43" w:rsidRPr="001543D8" w:rsidRDefault="00591FC6" w:rsidP="009145E5">
      <w:pPr>
        <w:pStyle w:val="tv213"/>
        <w:numPr>
          <w:ilvl w:val="0"/>
          <w:numId w:val="8"/>
        </w:numPr>
        <w:shd w:val="clear" w:color="auto" w:fill="FFFFFF"/>
        <w:spacing w:before="0" w:beforeAutospacing="0" w:after="0" w:afterAutospacing="0"/>
        <w:jc w:val="both"/>
      </w:pPr>
      <w:r w:rsidRPr="001543D8">
        <w:t xml:space="preserve">Par iepriekšējā </w:t>
      </w:r>
      <w:r w:rsidR="008F5585" w:rsidRPr="001543D8">
        <w:t>ceturksnī</w:t>
      </w:r>
      <w:r w:rsidRPr="001543D8">
        <w:t xml:space="preserve"> noteikto kompensācijas maksājumu DIENESTS veic </w:t>
      </w:r>
      <w:r w:rsidR="00173262" w:rsidRPr="001543D8">
        <w:t>apmaksu</w:t>
      </w:r>
      <w:r w:rsidRPr="001543D8">
        <w:t xml:space="preserve"> ar manuālā akta palīdzību, manuālā akta apraksta sadaļā no</w:t>
      </w:r>
      <w:r w:rsidR="004366AD" w:rsidRPr="001543D8">
        <w:t>rādot iemeslu - k</w:t>
      </w:r>
      <w:r w:rsidRPr="001543D8">
        <w:t xml:space="preserve">ompensācijas maksājums. </w:t>
      </w:r>
      <w:r w:rsidR="00601D43" w:rsidRPr="001543D8">
        <w:t xml:space="preserve">DIENESTS elektroniski informē IZPILDĪTĀJU par manuālā akta izveidošanu, nosūtot informāciju uz Līgumā norādīto e-pasta adresi. </w:t>
      </w:r>
    </w:p>
    <w:p w14:paraId="6EB3650F" w14:textId="77777777" w:rsidR="00601D43" w:rsidRPr="001543D8" w:rsidRDefault="00601D43" w:rsidP="00601D43">
      <w:pPr>
        <w:pStyle w:val="tv213"/>
        <w:shd w:val="clear" w:color="auto" w:fill="FFFFFF"/>
        <w:spacing w:before="0" w:beforeAutospacing="0" w:after="0" w:afterAutospacing="0"/>
        <w:jc w:val="both"/>
        <w:rPr>
          <w:rFonts w:eastAsiaTheme="minorHAnsi"/>
          <w:szCs w:val="22"/>
          <w:lang w:eastAsia="en-US"/>
        </w:rPr>
      </w:pPr>
    </w:p>
    <w:p w14:paraId="28D977F1" w14:textId="71A93CDA" w:rsidR="00150C78" w:rsidRPr="001543D8" w:rsidRDefault="004366AD"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IZPILDĪTĀJS ir tiesīgs no k</w:t>
      </w:r>
      <w:r w:rsidR="00150C78" w:rsidRPr="001543D8">
        <w:rPr>
          <w:rFonts w:ascii="Times New Roman" w:hAnsi="Times New Roman" w:cs="Times New Roman"/>
          <w:sz w:val="24"/>
          <w:lang w:val="lv-LV"/>
        </w:rPr>
        <w:t>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108.pantā. DIENESTAM i</w:t>
      </w:r>
      <w:r w:rsidRPr="001543D8">
        <w:rPr>
          <w:rFonts w:ascii="Times New Roman" w:hAnsi="Times New Roman" w:cs="Times New Roman"/>
          <w:sz w:val="24"/>
          <w:lang w:val="lv-LV"/>
        </w:rPr>
        <w:t>r tiesības kontrolēt piešķirtā k</w:t>
      </w:r>
      <w:r w:rsidR="00150C78" w:rsidRPr="001543D8">
        <w:rPr>
          <w:rFonts w:ascii="Times New Roman" w:hAnsi="Times New Roman" w:cs="Times New Roman"/>
          <w:sz w:val="24"/>
          <w:lang w:val="lv-LV"/>
        </w:rPr>
        <w:t>ompensācijas maksājuma izlietojumu un atbilstību tā mērķim.</w:t>
      </w:r>
    </w:p>
    <w:p w14:paraId="229018D4" w14:textId="77777777" w:rsidR="00150C78" w:rsidRPr="001543D8" w:rsidRDefault="00150C78" w:rsidP="00150C78">
      <w:pPr>
        <w:pStyle w:val="ListParagraph"/>
        <w:jc w:val="both"/>
        <w:rPr>
          <w:rFonts w:ascii="Times New Roman" w:hAnsi="Times New Roman" w:cs="Times New Roman"/>
          <w:sz w:val="24"/>
          <w:lang w:val="lv-LV"/>
        </w:rPr>
      </w:pPr>
    </w:p>
    <w:p w14:paraId="1F484A06" w14:textId="71015837" w:rsidR="005C1F37" w:rsidRPr="001543D8" w:rsidRDefault="005C1F37"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lastRenderedPageBreak/>
        <w:t xml:space="preserve">Ja IZPILDĪTĀJS </w:t>
      </w:r>
      <w:r w:rsidR="004366AD" w:rsidRPr="001543D8">
        <w:rPr>
          <w:rFonts w:ascii="Times New Roman" w:hAnsi="Times New Roman" w:cs="Times New Roman"/>
          <w:sz w:val="24"/>
          <w:lang w:val="lv-LV"/>
        </w:rPr>
        <w:t>no k</w:t>
      </w:r>
      <w:r w:rsidRPr="001543D8">
        <w:rPr>
          <w:rFonts w:ascii="Times New Roman" w:hAnsi="Times New Roman" w:cs="Times New Roman"/>
          <w:sz w:val="24"/>
          <w:lang w:val="lv-LV"/>
        </w:rPr>
        <w:t>ompensācijas maksājuma g</w:t>
      </w:r>
      <w:r w:rsidR="006A6D8B" w:rsidRPr="001543D8">
        <w:rPr>
          <w:rFonts w:ascii="Times New Roman" w:hAnsi="Times New Roman" w:cs="Times New Roman"/>
          <w:sz w:val="24"/>
          <w:lang w:val="lv-LV"/>
        </w:rPr>
        <w:t xml:space="preserve">atavības režīma nodrošināšanai </w:t>
      </w:r>
      <w:r w:rsidRPr="001543D8">
        <w:rPr>
          <w:rFonts w:ascii="Times New Roman" w:hAnsi="Times New Roman" w:cs="Times New Roman"/>
          <w:sz w:val="24"/>
          <w:lang w:val="lv-LV"/>
        </w:rPr>
        <w:t>sedz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r w:rsidR="00274AA6" w:rsidRPr="001543D8">
        <w:rPr>
          <w:lang w:val="lv-LV"/>
        </w:rPr>
        <w:footnoteReference w:id="2"/>
      </w:r>
      <w:r w:rsidRPr="001543D8">
        <w:rPr>
          <w:rFonts w:ascii="Times New Roman" w:hAnsi="Times New Roman" w:cs="Times New Roman"/>
          <w:sz w:val="24"/>
          <w:lang w:val="lv-LV"/>
        </w:rPr>
        <w:t>.</w:t>
      </w:r>
    </w:p>
    <w:p w14:paraId="714E80A9" w14:textId="1A16A013" w:rsidR="00076773" w:rsidRPr="00591FC6" w:rsidRDefault="00591FC6" w:rsidP="000318C1">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t>IZPILDĪTĀJS aizpilda un iesniedz DIENESTĀ pārskatu par finansējuma izlietojumu ārstniecības iestādē</w:t>
      </w:r>
      <w:r w:rsidR="009E7E5B" w:rsidRPr="001543D8">
        <w:t xml:space="preserve">: </w:t>
      </w:r>
      <w:hyperlink r:id="rId8" w:history="1">
        <w:r w:rsidR="009E7E5B" w:rsidRPr="001543D8">
          <w:rPr>
            <w:rStyle w:val="Hyperlink"/>
          </w:rPr>
          <w:t>https://www.vmnvd.gov.lv/lv/stacionariem</w:t>
        </w:r>
      </w:hyperlink>
      <w:r w:rsidR="009E7E5B">
        <w:t>.</w:t>
      </w:r>
    </w:p>
    <w:sectPr w:rsidR="00076773" w:rsidRPr="00591F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9B65" w14:textId="77777777" w:rsidR="00153EB9" w:rsidRDefault="00153EB9" w:rsidP="002231C2">
      <w:pPr>
        <w:spacing w:after="0" w:line="240" w:lineRule="auto"/>
      </w:pPr>
      <w:r>
        <w:separator/>
      </w:r>
    </w:p>
  </w:endnote>
  <w:endnote w:type="continuationSeparator" w:id="0">
    <w:p w14:paraId="33BB7512" w14:textId="77777777" w:rsidR="00153EB9" w:rsidRDefault="00153EB9" w:rsidP="0022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CE95" w14:textId="77777777" w:rsidR="00153EB9" w:rsidRDefault="00153EB9" w:rsidP="002231C2">
      <w:pPr>
        <w:spacing w:after="0" w:line="240" w:lineRule="auto"/>
      </w:pPr>
      <w:r>
        <w:separator/>
      </w:r>
    </w:p>
  </w:footnote>
  <w:footnote w:type="continuationSeparator" w:id="0">
    <w:p w14:paraId="626CE361" w14:textId="77777777" w:rsidR="00153EB9" w:rsidRDefault="00153EB9" w:rsidP="002231C2">
      <w:pPr>
        <w:spacing w:after="0" w:line="240" w:lineRule="auto"/>
      </w:pPr>
      <w:r>
        <w:continuationSeparator/>
      </w:r>
    </w:p>
  </w:footnote>
  <w:footnote w:id="1">
    <w:p w14:paraId="3161869D" w14:textId="366322EC" w:rsidR="0095627F" w:rsidRPr="00791DEE" w:rsidRDefault="0095627F" w:rsidP="0062200E">
      <w:pPr>
        <w:pStyle w:val="FootnoteText"/>
        <w:rPr>
          <w:lang w:val="lv-LV"/>
        </w:rPr>
      </w:pPr>
      <w:r>
        <w:rPr>
          <w:rStyle w:val="FootnoteReference"/>
        </w:rPr>
        <w:footnoteRef/>
      </w:r>
      <w:r>
        <w:t xml:space="preserve"> </w:t>
      </w:r>
      <w:r w:rsidRPr="00E07D50">
        <w:rPr>
          <w:rFonts w:ascii="Times New Roman" w:hAnsi="Times New Roman" w:cs="Times New Roman"/>
          <w:sz w:val="24"/>
          <w:lang w:val="lv-LV"/>
        </w:rPr>
        <w:t xml:space="preserve">Ja  </w:t>
      </w:r>
      <w:r>
        <w:rPr>
          <w:rFonts w:ascii="Times New Roman" w:hAnsi="Times New Roman" w:cs="Times New Roman"/>
          <w:sz w:val="24"/>
          <w:lang w:val="lv-LV"/>
        </w:rPr>
        <w:t>iesniegums</w:t>
      </w:r>
      <w:r w:rsidRPr="00E07D50">
        <w:rPr>
          <w:rFonts w:ascii="Times New Roman" w:hAnsi="Times New Roman" w:cs="Times New Roman"/>
          <w:sz w:val="24"/>
          <w:lang w:val="lv-LV"/>
        </w:rPr>
        <w:t xml:space="preserve"> tiek iesniegts pēc </w:t>
      </w:r>
      <w:r>
        <w:rPr>
          <w:rFonts w:ascii="Times New Roman" w:hAnsi="Times New Roman" w:cs="Times New Roman"/>
          <w:sz w:val="24"/>
          <w:lang w:val="lv-LV"/>
        </w:rPr>
        <w:t xml:space="preserve">norādītā termiņa </w:t>
      </w:r>
      <w:r w:rsidRPr="00E07D50">
        <w:rPr>
          <w:rFonts w:ascii="Times New Roman" w:hAnsi="Times New Roman" w:cs="Times New Roman"/>
          <w:sz w:val="24"/>
          <w:lang w:val="lv-LV"/>
        </w:rPr>
        <w:t>, DIENESTAM ir tiesības to neizskatīt</w:t>
      </w:r>
      <w:r>
        <w:rPr>
          <w:rFonts w:ascii="Times New Roman" w:hAnsi="Times New Roman" w:cs="Times New Roman"/>
          <w:sz w:val="24"/>
          <w:lang w:val="lv-LV"/>
        </w:rPr>
        <w:t>.</w:t>
      </w:r>
    </w:p>
  </w:footnote>
  <w:footnote w:id="2">
    <w:p w14:paraId="5BA22AA4" w14:textId="2317156B" w:rsidR="00D5577F" w:rsidRPr="00274AA6" w:rsidRDefault="00D5577F">
      <w:pPr>
        <w:pStyle w:val="FootnoteText"/>
        <w:rPr>
          <w:lang w:val="lv-LV"/>
        </w:rPr>
      </w:pPr>
      <w:r w:rsidRPr="00C3415F">
        <w:rPr>
          <w:rStyle w:val="FootnoteReference"/>
          <w:highlight w:val="lightGray"/>
        </w:rPr>
        <w:footnoteRef/>
      </w:r>
      <w:r w:rsidRPr="00C3415F">
        <w:rPr>
          <w:highlight w:val="lightGray"/>
        </w:rPr>
        <w:t xml:space="preserve"> </w:t>
      </w:r>
      <w:r w:rsidRPr="00C3415F">
        <w:rPr>
          <w:highlight w:val="lightGray"/>
          <w:lang w:val="lv-LV"/>
        </w:rPr>
        <w:t>Centrālā statistikas pārvalde. Mēnešalgas apmēra noteikšana. Tiešsaistē:</w:t>
      </w:r>
      <w:r>
        <w:rPr>
          <w:lang w:val="lv-LV"/>
        </w:rPr>
        <w:t xml:space="preserve"> </w:t>
      </w:r>
      <w:hyperlink r:id="rId1" w:history="1">
        <w:r>
          <w:rPr>
            <w:rStyle w:val="Hyperlink"/>
          </w:rPr>
          <w:t>https://www.csb.gov.lv/lv/statistika/statistikas-temas/socialie-procesi/darba-samaksa/menesalgas-apmera-noteiksana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47DA"/>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501B87"/>
    <w:multiLevelType w:val="hybridMultilevel"/>
    <w:tmpl w:val="7A6E4A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C1A3A"/>
    <w:multiLevelType w:val="hybridMultilevel"/>
    <w:tmpl w:val="B6C8872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D82218"/>
    <w:multiLevelType w:val="hybridMultilevel"/>
    <w:tmpl w:val="617E917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CCC440C"/>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2A6770"/>
    <w:multiLevelType w:val="hybridMultilevel"/>
    <w:tmpl w:val="FC0A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A528B"/>
    <w:multiLevelType w:val="hybridMultilevel"/>
    <w:tmpl w:val="FC82B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75B96"/>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161E51"/>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2"/>
  </w:num>
  <w:num w:numId="6">
    <w:abstractNumId w:val="8"/>
  </w:num>
  <w:num w:numId="7">
    <w:abstractNumId w:val="7"/>
  </w:num>
  <w:num w:numId="8">
    <w:abstractNumId w:val="1"/>
  </w:num>
  <w:num w:numId="9">
    <w:abstractNumId w:val="0"/>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B"/>
    <w:rsid w:val="0002580B"/>
    <w:rsid w:val="000318C1"/>
    <w:rsid w:val="00060893"/>
    <w:rsid w:val="00076773"/>
    <w:rsid w:val="00085804"/>
    <w:rsid w:val="000A2DE1"/>
    <w:rsid w:val="000A2FE6"/>
    <w:rsid w:val="000B75C3"/>
    <w:rsid w:val="000C69A9"/>
    <w:rsid w:val="000F0F47"/>
    <w:rsid w:val="000F3CFA"/>
    <w:rsid w:val="001121F2"/>
    <w:rsid w:val="001122AF"/>
    <w:rsid w:val="001153B0"/>
    <w:rsid w:val="00140D74"/>
    <w:rsid w:val="001466A6"/>
    <w:rsid w:val="00150C78"/>
    <w:rsid w:val="00153EB9"/>
    <w:rsid w:val="001543D8"/>
    <w:rsid w:val="00173262"/>
    <w:rsid w:val="001767AC"/>
    <w:rsid w:val="00191F8B"/>
    <w:rsid w:val="001969AD"/>
    <w:rsid w:val="001A4788"/>
    <w:rsid w:val="001B6D41"/>
    <w:rsid w:val="001C1A0A"/>
    <w:rsid w:val="001E2088"/>
    <w:rsid w:val="001F415B"/>
    <w:rsid w:val="002231C2"/>
    <w:rsid w:val="0022679C"/>
    <w:rsid w:val="00231716"/>
    <w:rsid w:val="00234F0C"/>
    <w:rsid w:val="00251DFB"/>
    <w:rsid w:val="00256D0F"/>
    <w:rsid w:val="00266F22"/>
    <w:rsid w:val="00274AA6"/>
    <w:rsid w:val="002940D4"/>
    <w:rsid w:val="002B3289"/>
    <w:rsid w:val="002C04D0"/>
    <w:rsid w:val="002C0672"/>
    <w:rsid w:val="002C5CBD"/>
    <w:rsid w:val="002F27F8"/>
    <w:rsid w:val="00307591"/>
    <w:rsid w:val="00313A06"/>
    <w:rsid w:val="00346BB9"/>
    <w:rsid w:val="00355828"/>
    <w:rsid w:val="00357093"/>
    <w:rsid w:val="003743A9"/>
    <w:rsid w:val="00377552"/>
    <w:rsid w:val="00392798"/>
    <w:rsid w:val="003A3E7A"/>
    <w:rsid w:val="003A48D5"/>
    <w:rsid w:val="003C408F"/>
    <w:rsid w:val="004063FE"/>
    <w:rsid w:val="004112EE"/>
    <w:rsid w:val="004366AD"/>
    <w:rsid w:val="00442D98"/>
    <w:rsid w:val="00450DA6"/>
    <w:rsid w:val="004669FD"/>
    <w:rsid w:val="0047558C"/>
    <w:rsid w:val="00482A1A"/>
    <w:rsid w:val="004A6699"/>
    <w:rsid w:val="004B5240"/>
    <w:rsid w:val="004C1099"/>
    <w:rsid w:val="004D4BFA"/>
    <w:rsid w:val="004D7BFB"/>
    <w:rsid w:val="004E48DE"/>
    <w:rsid w:val="00502502"/>
    <w:rsid w:val="00504DA0"/>
    <w:rsid w:val="00517717"/>
    <w:rsid w:val="005267D0"/>
    <w:rsid w:val="0052779A"/>
    <w:rsid w:val="00527EC4"/>
    <w:rsid w:val="0054709F"/>
    <w:rsid w:val="00550E33"/>
    <w:rsid w:val="0056255C"/>
    <w:rsid w:val="00571CE2"/>
    <w:rsid w:val="00572C1C"/>
    <w:rsid w:val="00577F19"/>
    <w:rsid w:val="005816F6"/>
    <w:rsid w:val="00591FC6"/>
    <w:rsid w:val="005C1F37"/>
    <w:rsid w:val="00601D43"/>
    <w:rsid w:val="0060410E"/>
    <w:rsid w:val="0062200E"/>
    <w:rsid w:val="00635341"/>
    <w:rsid w:val="006612A4"/>
    <w:rsid w:val="00682AA9"/>
    <w:rsid w:val="00686C1A"/>
    <w:rsid w:val="006939B8"/>
    <w:rsid w:val="006A09AB"/>
    <w:rsid w:val="006A373E"/>
    <w:rsid w:val="006A6D8B"/>
    <w:rsid w:val="006D4D8F"/>
    <w:rsid w:val="006E6674"/>
    <w:rsid w:val="006F132B"/>
    <w:rsid w:val="006F197D"/>
    <w:rsid w:val="006F76C0"/>
    <w:rsid w:val="0070251D"/>
    <w:rsid w:val="00707614"/>
    <w:rsid w:val="00711081"/>
    <w:rsid w:val="00713703"/>
    <w:rsid w:val="00720384"/>
    <w:rsid w:val="00744FCA"/>
    <w:rsid w:val="00747C70"/>
    <w:rsid w:val="00753C39"/>
    <w:rsid w:val="0075736E"/>
    <w:rsid w:val="007740C5"/>
    <w:rsid w:val="007775C0"/>
    <w:rsid w:val="00791DEE"/>
    <w:rsid w:val="007A3A39"/>
    <w:rsid w:val="007A7D8C"/>
    <w:rsid w:val="007B019D"/>
    <w:rsid w:val="007C2EED"/>
    <w:rsid w:val="007C450C"/>
    <w:rsid w:val="00833231"/>
    <w:rsid w:val="0085407D"/>
    <w:rsid w:val="00876C15"/>
    <w:rsid w:val="008949C7"/>
    <w:rsid w:val="008B6611"/>
    <w:rsid w:val="008B6D7A"/>
    <w:rsid w:val="008C1967"/>
    <w:rsid w:val="008E6AC8"/>
    <w:rsid w:val="008F5585"/>
    <w:rsid w:val="009145E5"/>
    <w:rsid w:val="00916419"/>
    <w:rsid w:val="0095627F"/>
    <w:rsid w:val="00963B6A"/>
    <w:rsid w:val="009A21FF"/>
    <w:rsid w:val="009A409B"/>
    <w:rsid w:val="009A454A"/>
    <w:rsid w:val="009A548F"/>
    <w:rsid w:val="009D7E7A"/>
    <w:rsid w:val="009E5DAE"/>
    <w:rsid w:val="009E6B76"/>
    <w:rsid w:val="009E7E5B"/>
    <w:rsid w:val="009F3E80"/>
    <w:rsid w:val="009F6586"/>
    <w:rsid w:val="00A43E4B"/>
    <w:rsid w:val="00A456E5"/>
    <w:rsid w:val="00A50870"/>
    <w:rsid w:val="00A57159"/>
    <w:rsid w:val="00AB23D6"/>
    <w:rsid w:val="00AC3A75"/>
    <w:rsid w:val="00AC5FA5"/>
    <w:rsid w:val="00AD16F3"/>
    <w:rsid w:val="00AE1874"/>
    <w:rsid w:val="00AE1F7F"/>
    <w:rsid w:val="00AE4FFA"/>
    <w:rsid w:val="00B152A7"/>
    <w:rsid w:val="00B24CA1"/>
    <w:rsid w:val="00B3657C"/>
    <w:rsid w:val="00B54782"/>
    <w:rsid w:val="00B62F9E"/>
    <w:rsid w:val="00B65E7D"/>
    <w:rsid w:val="00B72F3B"/>
    <w:rsid w:val="00BA799C"/>
    <w:rsid w:val="00BC6032"/>
    <w:rsid w:val="00BE003B"/>
    <w:rsid w:val="00BE28C4"/>
    <w:rsid w:val="00C3415F"/>
    <w:rsid w:val="00C67385"/>
    <w:rsid w:val="00C72BEB"/>
    <w:rsid w:val="00C8095C"/>
    <w:rsid w:val="00C80CA2"/>
    <w:rsid w:val="00C81F91"/>
    <w:rsid w:val="00C859D3"/>
    <w:rsid w:val="00C9677B"/>
    <w:rsid w:val="00CA5533"/>
    <w:rsid w:val="00CA7ABA"/>
    <w:rsid w:val="00CC20F3"/>
    <w:rsid w:val="00CC2A9E"/>
    <w:rsid w:val="00CE2E2E"/>
    <w:rsid w:val="00D014A5"/>
    <w:rsid w:val="00D12A51"/>
    <w:rsid w:val="00D31598"/>
    <w:rsid w:val="00D33FF3"/>
    <w:rsid w:val="00D460CB"/>
    <w:rsid w:val="00D5577F"/>
    <w:rsid w:val="00D71BBC"/>
    <w:rsid w:val="00DC0D21"/>
    <w:rsid w:val="00DC1987"/>
    <w:rsid w:val="00DC45E5"/>
    <w:rsid w:val="00E009AC"/>
    <w:rsid w:val="00E03BBB"/>
    <w:rsid w:val="00E04AD8"/>
    <w:rsid w:val="00E07D50"/>
    <w:rsid w:val="00E52AB8"/>
    <w:rsid w:val="00E7192B"/>
    <w:rsid w:val="00E82E5C"/>
    <w:rsid w:val="00EB31D7"/>
    <w:rsid w:val="00F12FB7"/>
    <w:rsid w:val="00F26786"/>
    <w:rsid w:val="00F35485"/>
    <w:rsid w:val="00F50A0E"/>
    <w:rsid w:val="00F81FBA"/>
    <w:rsid w:val="00F84310"/>
    <w:rsid w:val="00FA2B77"/>
    <w:rsid w:val="00FA4678"/>
    <w:rsid w:val="00FA56A0"/>
    <w:rsid w:val="00FD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1C6D"/>
  <w15:docId w15:val="{39E743EC-0701-403C-8405-7D3A73C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2B"/>
    <w:pPr>
      <w:ind w:left="720"/>
      <w:contextualSpacing/>
    </w:pPr>
  </w:style>
  <w:style w:type="paragraph" w:customStyle="1" w:styleId="tv213">
    <w:name w:val="tv213"/>
    <w:basedOn w:val="Normal"/>
    <w:rsid w:val="00E7192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E7192B"/>
    <w:rPr>
      <w:sz w:val="16"/>
      <w:szCs w:val="16"/>
    </w:rPr>
  </w:style>
  <w:style w:type="paragraph" w:styleId="CommentText">
    <w:name w:val="annotation text"/>
    <w:basedOn w:val="Normal"/>
    <w:link w:val="CommentTextChar"/>
    <w:uiPriority w:val="99"/>
    <w:unhideWhenUsed/>
    <w:rsid w:val="00E7192B"/>
    <w:pPr>
      <w:spacing w:line="240" w:lineRule="auto"/>
    </w:pPr>
    <w:rPr>
      <w:sz w:val="20"/>
      <w:szCs w:val="20"/>
    </w:rPr>
  </w:style>
  <w:style w:type="character" w:customStyle="1" w:styleId="CommentTextChar">
    <w:name w:val="Comment Text Char"/>
    <w:basedOn w:val="DefaultParagraphFont"/>
    <w:link w:val="CommentText"/>
    <w:uiPriority w:val="99"/>
    <w:rsid w:val="00E7192B"/>
    <w:rPr>
      <w:sz w:val="20"/>
      <w:szCs w:val="20"/>
    </w:rPr>
  </w:style>
  <w:style w:type="paragraph" w:styleId="BalloonText">
    <w:name w:val="Balloon Text"/>
    <w:basedOn w:val="Normal"/>
    <w:link w:val="BalloonTextChar"/>
    <w:uiPriority w:val="99"/>
    <w:semiHidden/>
    <w:unhideWhenUsed/>
    <w:rsid w:val="00E71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9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FB7"/>
    <w:rPr>
      <w:b/>
      <w:bCs/>
    </w:rPr>
  </w:style>
  <w:style w:type="character" w:customStyle="1" w:styleId="CommentSubjectChar">
    <w:name w:val="Comment Subject Char"/>
    <w:basedOn w:val="CommentTextChar"/>
    <w:link w:val="CommentSubject"/>
    <w:uiPriority w:val="99"/>
    <w:semiHidden/>
    <w:rsid w:val="00F12FB7"/>
    <w:rPr>
      <w:b/>
      <w:bCs/>
      <w:sz w:val="20"/>
      <w:szCs w:val="20"/>
    </w:rPr>
  </w:style>
  <w:style w:type="paragraph" w:styleId="FootnoteText">
    <w:name w:val="footnote text"/>
    <w:basedOn w:val="Normal"/>
    <w:link w:val="FootnoteTextChar"/>
    <w:uiPriority w:val="99"/>
    <w:semiHidden/>
    <w:unhideWhenUsed/>
    <w:rsid w:val="00223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1C2"/>
    <w:rPr>
      <w:sz w:val="20"/>
      <w:szCs w:val="20"/>
    </w:rPr>
  </w:style>
  <w:style w:type="character" w:styleId="FootnoteReference">
    <w:name w:val="footnote reference"/>
    <w:basedOn w:val="DefaultParagraphFont"/>
    <w:uiPriority w:val="99"/>
    <w:semiHidden/>
    <w:unhideWhenUsed/>
    <w:rsid w:val="002231C2"/>
    <w:rPr>
      <w:vertAlign w:val="superscript"/>
    </w:rPr>
  </w:style>
  <w:style w:type="character" w:styleId="Hyperlink">
    <w:name w:val="Hyperlink"/>
    <w:basedOn w:val="DefaultParagraphFont"/>
    <w:uiPriority w:val="99"/>
    <w:unhideWhenUsed/>
    <w:rsid w:val="002231C2"/>
    <w:rPr>
      <w:color w:val="0563C1" w:themeColor="hyperlink"/>
      <w:u w:val="single"/>
    </w:rPr>
  </w:style>
  <w:style w:type="character" w:styleId="FollowedHyperlink">
    <w:name w:val="FollowedHyperlink"/>
    <w:basedOn w:val="DefaultParagraphFont"/>
    <w:uiPriority w:val="99"/>
    <w:semiHidden/>
    <w:unhideWhenUsed/>
    <w:rsid w:val="00D460CB"/>
    <w:rPr>
      <w:color w:val="954F72" w:themeColor="followedHyperlink"/>
      <w:u w:val="single"/>
    </w:rPr>
  </w:style>
  <w:style w:type="paragraph" w:styleId="Revision">
    <w:name w:val="Revision"/>
    <w:hidden/>
    <w:uiPriority w:val="99"/>
    <w:semiHidden/>
    <w:rsid w:val="00571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972">
      <w:bodyDiv w:val="1"/>
      <w:marLeft w:val="0"/>
      <w:marRight w:val="0"/>
      <w:marTop w:val="0"/>
      <w:marBottom w:val="0"/>
      <w:divBdr>
        <w:top w:val="none" w:sz="0" w:space="0" w:color="auto"/>
        <w:left w:val="none" w:sz="0" w:space="0" w:color="auto"/>
        <w:bottom w:val="none" w:sz="0" w:space="0" w:color="auto"/>
        <w:right w:val="none" w:sz="0" w:space="0" w:color="auto"/>
      </w:divBdr>
    </w:div>
    <w:div w:id="185020394">
      <w:bodyDiv w:val="1"/>
      <w:marLeft w:val="0"/>
      <w:marRight w:val="0"/>
      <w:marTop w:val="0"/>
      <w:marBottom w:val="0"/>
      <w:divBdr>
        <w:top w:val="none" w:sz="0" w:space="0" w:color="auto"/>
        <w:left w:val="none" w:sz="0" w:space="0" w:color="auto"/>
        <w:bottom w:val="none" w:sz="0" w:space="0" w:color="auto"/>
        <w:right w:val="none" w:sz="0" w:space="0" w:color="auto"/>
      </w:divBdr>
    </w:div>
    <w:div w:id="332951364">
      <w:bodyDiv w:val="1"/>
      <w:marLeft w:val="0"/>
      <w:marRight w:val="0"/>
      <w:marTop w:val="0"/>
      <w:marBottom w:val="0"/>
      <w:divBdr>
        <w:top w:val="none" w:sz="0" w:space="0" w:color="auto"/>
        <w:left w:val="none" w:sz="0" w:space="0" w:color="auto"/>
        <w:bottom w:val="none" w:sz="0" w:space="0" w:color="auto"/>
        <w:right w:val="none" w:sz="0" w:space="0" w:color="auto"/>
      </w:divBdr>
    </w:div>
    <w:div w:id="407312370">
      <w:bodyDiv w:val="1"/>
      <w:marLeft w:val="0"/>
      <w:marRight w:val="0"/>
      <w:marTop w:val="0"/>
      <w:marBottom w:val="0"/>
      <w:divBdr>
        <w:top w:val="none" w:sz="0" w:space="0" w:color="auto"/>
        <w:left w:val="none" w:sz="0" w:space="0" w:color="auto"/>
        <w:bottom w:val="none" w:sz="0" w:space="0" w:color="auto"/>
        <w:right w:val="none" w:sz="0" w:space="0" w:color="auto"/>
      </w:divBdr>
    </w:div>
    <w:div w:id="409156597">
      <w:bodyDiv w:val="1"/>
      <w:marLeft w:val="0"/>
      <w:marRight w:val="0"/>
      <w:marTop w:val="0"/>
      <w:marBottom w:val="0"/>
      <w:divBdr>
        <w:top w:val="none" w:sz="0" w:space="0" w:color="auto"/>
        <w:left w:val="none" w:sz="0" w:space="0" w:color="auto"/>
        <w:bottom w:val="none" w:sz="0" w:space="0" w:color="auto"/>
        <w:right w:val="none" w:sz="0" w:space="0" w:color="auto"/>
      </w:divBdr>
    </w:div>
    <w:div w:id="461852672">
      <w:bodyDiv w:val="1"/>
      <w:marLeft w:val="0"/>
      <w:marRight w:val="0"/>
      <w:marTop w:val="0"/>
      <w:marBottom w:val="0"/>
      <w:divBdr>
        <w:top w:val="none" w:sz="0" w:space="0" w:color="auto"/>
        <w:left w:val="none" w:sz="0" w:space="0" w:color="auto"/>
        <w:bottom w:val="none" w:sz="0" w:space="0" w:color="auto"/>
        <w:right w:val="none" w:sz="0" w:space="0" w:color="auto"/>
      </w:divBdr>
    </w:div>
    <w:div w:id="679428133">
      <w:bodyDiv w:val="1"/>
      <w:marLeft w:val="0"/>
      <w:marRight w:val="0"/>
      <w:marTop w:val="0"/>
      <w:marBottom w:val="0"/>
      <w:divBdr>
        <w:top w:val="none" w:sz="0" w:space="0" w:color="auto"/>
        <w:left w:val="none" w:sz="0" w:space="0" w:color="auto"/>
        <w:bottom w:val="none" w:sz="0" w:space="0" w:color="auto"/>
        <w:right w:val="none" w:sz="0" w:space="0" w:color="auto"/>
      </w:divBdr>
    </w:div>
    <w:div w:id="682054561">
      <w:bodyDiv w:val="1"/>
      <w:marLeft w:val="0"/>
      <w:marRight w:val="0"/>
      <w:marTop w:val="0"/>
      <w:marBottom w:val="0"/>
      <w:divBdr>
        <w:top w:val="none" w:sz="0" w:space="0" w:color="auto"/>
        <w:left w:val="none" w:sz="0" w:space="0" w:color="auto"/>
        <w:bottom w:val="none" w:sz="0" w:space="0" w:color="auto"/>
        <w:right w:val="none" w:sz="0" w:space="0" w:color="auto"/>
      </w:divBdr>
    </w:div>
    <w:div w:id="747262860">
      <w:bodyDiv w:val="1"/>
      <w:marLeft w:val="0"/>
      <w:marRight w:val="0"/>
      <w:marTop w:val="0"/>
      <w:marBottom w:val="0"/>
      <w:divBdr>
        <w:top w:val="none" w:sz="0" w:space="0" w:color="auto"/>
        <w:left w:val="none" w:sz="0" w:space="0" w:color="auto"/>
        <w:bottom w:val="none" w:sz="0" w:space="0" w:color="auto"/>
        <w:right w:val="none" w:sz="0" w:space="0" w:color="auto"/>
      </w:divBdr>
    </w:div>
    <w:div w:id="1098449035">
      <w:bodyDiv w:val="1"/>
      <w:marLeft w:val="0"/>
      <w:marRight w:val="0"/>
      <w:marTop w:val="0"/>
      <w:marBottom w:val="0"/>
      <w:divBdr>
        <w:top w:val="none" w:sz="0" w:space="0" w:color="auto"/>
        <w:left w:val="none" w:sz="0" w:space="0" w:color="auto"/>
        <w:bottom w:val="none" w:sz="0" w:space="0" w:color="auto"/>
        <w:right w:val="none" w:sz="0" w:space="0" w:color="auto"/>
      </w:divBdr>
    </w:div>
    <w:div w:id="1290089565">
      <w:bodyDiv w:val="1"/>
      <w:marLeft w:val="0"/>
      <w:marRight w:val="0"/>
      <w:marTop w:val="0"/>
      <w:marBottom w:val="0"/>
      <w:divBdr>
        <w:top w:val="none" w:sz="0" w:space="0" w:color="auto"/>
        <w:left w:val="none" w:sz="0" w:space="0" w:color="auto"/>
        <w:bottom w:val="none" w:sz="0" w:space="0" w:color="auto"/>
        <w:right w:val="none" w:sz="0" w:space="0" w:color="auto"/>
      </w:divBdr>
    </w:div>
    <w:div w:id="1319531759">
      <w:bodyDiv w:val="1"/>
      <w:marLeft w:val="0"/>
      <w:marRight w:val="0"/>
      <w:marTop w:val="0"/>
      <w:marBottom w:val="0"/>
      <w:divBdr>
        <w:top w:val="none" w:sz="0" w:space="0" w:color="auto"/>
        <w:left w:val="none" w:sz="0" w:space="0" w:color="auto"/>
        <w:bottom w:val="none" w:sz="0" w:space="0" w:color="auto"/>
        <w:right w:val="none" w:sz="0" w:space="0" w:color="auto"/>
      </w:divBdr>
    </w:div>
    <w:div w:id="1840391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stacionari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b.gov.lv/lv/statistika/statistikas-temas/socialie-procesi/darba-samaksa/menesalgas-apmera-noteik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8876-D00D-4E6E-A079-5A8A6811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7650</Words>
  <Characters>4361</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Kronberga</dc:creator>
  <cp:keywords/>
  <dc:description/>
  <cp:lastModifiedBy>Laura Kronberga</cp:lastModifiedBy>
  <cp:revision>2</cp:revision>
  <cp:lastPrinted>2020-05-06T14:06:00Z</cp:lastPrinted>
  <dcterms:created xsi:type="dcterms:W3CDTF">2022-01-24T11:35:00Z</dcterms:created>
  <dcterms:modified xsi:type="dcterms:W3CDTF">2022-01-24T11:35:00Z</dcterms:modified>
</cp:coreProperties>
</file>