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4F30B95" w:rsidP="5324693A" w:rsidRDefault="14F30B95" w14:paraId="64EB4D74" w14:textId="24E96D0B">
      <w:pPr>
        <w:jc w:val="both"/>
      </w:pP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Par pretgripas vakcīnām</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w:t>
      </w:r>
    </w:p>
    <w:p w:rsidR="14F30B95" w:rsidP="5324693A" w:rsidRDefault="14F30B95" w14:paraId="70EC6BE4" w14:textId="69BF4237">
      <w:pPr>
        <w:ind w:firstLine="720"/>
        <w:jc w:val="both"/>
      </w:pP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Par vakcīnas “FluenzTetra” izmantošanu visiem bērniem no 2 līdz 17 gadu vecumam</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Slimību profilakses un kontroles centrs (turpmāk – SPKC), pamatojoties uz vakcinācijas iestāžu datiem par vakcinācijas faktiem un vakcīnu pasūtījumiem, novērtējot riska grupu vakcinācijas pret sezonālo gripu norisi un vakcīnas “FluenzTetra” (intranazālā pretgripas vakcīna bērniem) atlikuma apjomu, informē, ka </w:t>
      </w: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no valsts budžeta līdzekļiem apmaksātu vakcināciju pret sezonālo gripu ar vakcīnu “FluenzTetra” var veikt visiem bērniem no 24 mēnešu līdz 17 gadu (ieskaitot) vecumam.</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w:t>
      </w:r>
    </w:p>
    <w:p w:rsidR="14F30B95" w:rsidP="5324693A" w:rsidRDefault="14F30B95" w14:paraId="3110B39B" w14:textId="2D36B6BB">
      <w:pPr>
        <w:ind w:firstLine="720"/>
        <w:jc w:val="both"/>
      </w:pPr>
      <w:r w:rsidRPr="5324693A" w:rsidR="14F30B95">
        <w:rPr>
          <w:rFonts w:ascii="Times New Roman" w:hAnsi="Times New Roman" w:eastAsia="Times New Roman" w:cs="Times New Roman"/>
          <w:noProof w:val="0"/>
          <w:color w:val="000000" w:themeColor="text1" w:themeTint="FF" w:themeShade="FF"/>
          <w:sz w:val="24"/>
          <w:szCs w:val="24"/>
          <w:lang w:val="lv-LV"/>
        </w:rPr>
        <w:t xml:space="preserve">Vakcīnu “FluenzTetra” joprojām var pasūtīt SPKC un saņemt ārpus kārtas, ievērojot nedalāmo sekundāro vakcīnas iepakojumu (10 devas iepakojumā). Vakcīna tiks izsniegta pasūtījumu saņemšanas kārtībā, </w:t>
      </w: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līdz tā būs pieejama noliktavā</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SPKC informēs vakcinācijas iestādes, kad vakcīna vairs nebūs pieejama pasūtīšanai. Pasūtot vakcīnu “FluenzTetra” E-veselības portālā, pie piezīmēm jānorāda, ka vēlaties intranazālo vakcīnu. </w:t>
      </w:r>
    </w:p>
    <w:p w:rsidR="14F30B95" w:rsidP="5324693A" w:rsidRDefault="14F30B95" w14:paraId="467F19B8" w14:textId="29AA5707">
      <w:pPr>
        <w:ind w:firstLine="720"/>
        <w:jc w:val="both"/>
      </w:pPr>
      <w:r w:rsidRPr="5324693A" w:rsidR="14F30B95">
        <w:rPr>
          <w:rFonts w:ascii="Times New Roman" w:hAnsi="Times New Roman" w:eastAsia="Times New Roman" w:cs="Times New Roman"/>
          <w:noProof w:val="0"/>
          <w:color w:val="000000" w:themeColor="text1" w:themeTint="FF" w:themeShade="FF"/>
          <w:sz w:val="24"/>
          <w:szCs w:val="24"/>
          <w:lang w:val="lv-LV"/>
        </w:rPr>
        <w:t xml:space="preserve">“FluenzTetra” vakcīna šajā sezonā tika iekļauta pilotprojekta ietvaros, tāpēc tiek aicinātas pasūtīt vakcīnu arī tās ārstniecības iestādes, kuras nebija iepriekš veikušas šīs vakcīnas pasūtīšanu pieredzes iegūšanas nolūkā. Deguna aerosola vakcīna “FluenzTetra”  ir ne tikai ļoti efektīva, bet arī tās ievadīšana ir nesāpīga. Tā ilgu laiku tika izmantota citās valstīs. </w:t>
      </w:r>
    </w:p>
    <w:p w:rsidR="14F30B95" w:rsidP="5324693A" w:rsidRDefault="14F30B95" w14:paraId="4D9C9D2A" w14:textId="7CCE6F84">
      <w:pPr>
        <w:ind w:firstLine="720"/>
      </w:pPr>
      <w:r w:rsidRPr="5324693A" w:rsidR="14F30B95">
        <w:rPr>
          <w:rFonts w:ascii="Times New Roman" w:hAnsi="Times New Roman" w:eastAsia="Times New Roman" w:cs="Times New Roman"/>
          <w:noProof w:val="0"/>
          <w:color w:val="000000" w:themeColor="text1" w:themeTint="FF" w:themeShade="FF"/>
          <w:sz w:val="24"/>
          <w:szCs w:val="24"/>
          <w:lang w:val="lv-LV"/>
        </w:rPr>
        <w:t xml:space="preserve">SPKC vērš Jūsu uzmanību, ka vakcīnas “FluenzTetra” </w:t>
      </w: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derīguma termiņš ir 2024. gada 16. janvāris (16.01.2024)!</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Vakcīnu “FluenzTetra” zāļu apraksts ir pieejams Zāļu valsts aģentūras tīmekļa vietnē</w:t>
      </w:r>
      <w:hyperlink w:anchor="_ftn1" r:id="R58353a8a0b0447f8">
        <w:r w:rsidRPr="5324693A" w:rsidR="14F30B95">
          <w:rPr>
            <w:rStyle w:val="Hyperlink"/>
            <w:rFonts w:ascii="Times New Roman" w:hAnsi="Times New Roman" w:eastAsia="Times New Roman" w:cs="Times New Roman"/>
            <w:noProof w:val="0"/>
            <w:color w:val="000000" w:themeColor="text1" w:themeTint="FF" w:themeShade="FF"/>
            <w:sz w:val="24"/>
            <w:szCs w:val="24"/>
            <w:vertAlign w:val="superscript"/>
            <w:lang w:val="lv-LV"/>
          </w:rPr>
          <w:t>[1]</w:t>
        </w:r>
      </w:hyperlink>
      <w:r w:rsidRPr="5324693A" w:rsidR="14F30B95">
        <w:rPr>
          <w:rFonts w:ascii="Times New Roman" w:hAnsi="Times New Roman" w:eastAsia="Times New Roman" w:cs="Times New Roman"/>
          <w:noProof w:val="0"/>
          <w:color w:val="000000" w:themeColor="text1" w:themeTint="FF" w:themeShade="FF"/>
          <w:sz w:val="24"/>
          <w:szCs w:val="24"/>
          <w:lang w:val="lv-LV"/>
        </w:rPr>
        <w:t>.</w:t>
      </w:r>
      <w:r>
        <w:br/>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w:t>
      </w:r>
    </w:p>
    <w:p w:rsidR="14F30B95" w:rsidP="5324693A" w:rsidRDefault="14F30B95" w14:paraId="2A3C2862" w14:textId="3D6477E9">
      <w:pPr>
        <w:ind w:firstLine="720"/>
        <w:jc w:val="both"/>
      </w:pP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Par vakcīnu “Influvac Tetra” un Efluelda” izmantošanu</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 Papildu minētajam SPKC informē, </w:t>
      </w:r>
      <w:r w:rsidRPr="5324693A" w:rsidR="14F30B95">
        <w:rPr>
          <w:rFonts w:ascii="Times New Roman" w:hAnsi="Times New Roman" w:eastAsia="Times New Roman" w:cs="Times New Roman"/>
          <w:b w:val="1"/>
          <w:bCs w:val="1"/>
          <w:noProof w:val="0"/>
          <w:color w:val="000000" w:themeColor="text1" w:themeTint="FF" w:themeShade="FF"/>
          <w:sz w:val="24"/>
          <w:szCs w:val="24"/>
          <w:lang w:val="lv-LV"/>
        </w:rPr>
        <w:t xml:space="preserve">ka no valsts budžeta līdzekļiem apmaksātu vakcināciju pret sezonālo gripu var veikt visiem iedzīvotājiem vecuma grupā no 50 gadu vecuma, izmantojot vakcīnu “Influvac Tetra”, bet no 60 gadu vecuma arī vakcīnu “Efluelda” pēc pieejamā vakcīnu daudzuma ārstniecības iestādēs. </w:t>
      </w:r>
      <w:r w:rsidRPr="5324693A" w:rsidR="14F30B95">
        <w:rPr>
          <w:rFonts w:ascii="Times New Roman" w:hAnsi="Times New Roman" w:eastAsia="Times New Roman" w:cs="Times New Roman"/>
          <w:noProof w:val="0"/>
          <w:color w:val="000000" w:themeColor="text1" w:themeTint="FF" w:themeShade="FF"/>
          <w:sz w:val="24"/>
          <w:szCs w:val="24"/>
          <w:lang w:val="lv-LV"/>
        </w:rPr>
        <w:t xml:space="preserve">Atgādinām, ka pasūtīt “Influvac Tetra” un “Efluelda” vakcīnas šajā sezonā vairs nav iespējams. </w:t>
      </w:r>
    </w:p>
    <w:p w:rsidR="14F30B95" w:rsidP="5324693A" w:rsidRDefault="14F30B95" w14:paraId="5CCF4106" w14:textId="0C2992F5">
      <w:pPr>
        <w:jc w:val="both"/>
      </w:pPr>
      <w:r w:rsidRPr="5324693A" w:rsidR="14F30B95">
        <w:rPr>
          <w:rFonts w:ascii="Times New Roman" w:hAnsi="Times New Roman" w:eastAsia="Times New Roman" w:cs="Times New Roman"/>
          <w:noProof w:val="0"/>
          <w:color w:val="000000" w:themeColor="text1" w:themeTint="FF" w:themeShade="FF"/>
          <w:sz w:val="24"/>
          <w:szCs w:val="24"/>
          <w:lang w:val="lv-LV"/>
        </w:rPr>
        <w:t xml:space="preserve"> </w:t>
      </w:r>
    </w:p>
    <w:p w:rsidR="14F30B95" w:rsidP="5324693A" w:rsidRDefault="14F30B95" w14:paraId="019EA1D9" w14:textId="797E751B">
      <w:pPr>
        <w:spacing w:line="257" w:lineRule="auto"/>
      </w:pPr>
      <w:r w:rsidRPr="5324693A" w:rsidR="14F30B95">
        <w:rPr>
          <w:rFonts w:ascii="Times New Roman" w:hAnsi="Times New Roman" w:eastAsia="Times New Roman" w:cs="Times New Roman"/>
          <w:noProof w:val="0"/>
          <w:color w:val="000000" w:themeColor="text1" w:themeTint="FF" w:themeShade="FF"/>
          <w:sz w:val="24"/>
          <w:szCs w:val="24"/>
          <w:lang w:val="lv-LV"/>
        </w:rPr>
        <w:t>Atkārtoti vēršam Jūsu uzmanību uz to, ka SPKC tīmekļa vietnē ir pieejams vakcinācijas iestāžu saraksts</w:t>
      </w:r>
      <w:hyperlink w:anchor="_ftn2" r:id="R5d3debf09f1f4acd">
        <w:r w:rsidRPr="5324693A" w:rsidR="14F30B95">
          <w:rPr>
            <w:rStyle w:val="Hyperlink"/>
            <w:rFonts w:ascii="Times New Roman" w:hAnsi="Times New Roman" w:eastAsia="Times New Roman" w:cs="Times New Roman"/>
            <w:noProof w:val="0"/>
            <w:color w:val="000000" w:themeColor="text1" w:themeTint="FF" w:themeShade="FF"/>
            <w:sz w:val="24"/>
            <w:szCs w:val="24"/>
            <w:vertAlign w:val="superscript"/>
            <w:lang w:val="lv-LV"/>
          </w:rPr>
          <w:t>[2]</w:t>
        </w:r>
      </w:hyperlink>
      <w:r w:rsidRPr="5324693A" w:rsidR="14F30B95">
        <w:rPr>
          <w:rFonts w:ascii="Times New Roman" w:hAnsi="Times New Roman" w:eastAsia="Times New Roman" w:cs="Times New Roman"/>
          <w:noProof w:val="0"/>
          <w:color w:val="000000" w:themeColor="text1" w:themeTint="FF" w:themeShade="FF"/>
          <w:sz w:val="24"/>
          <w:szCs w:val="24"/>
          <w:lang w:val="lv-LV"/>
        </w:rPr>
        <w:t xml:space="preserve">, kur var novirzīt pacientus, gadījumā ja jūsu praksē nav pieejamas kādas no valsts apmaksātām vakcīnām pret sezonālo gripu. </w:t>
      </w:r>
      <w:r w:rsidRPr="5324693A" w:rsidR="14F30B95">
        <w:rPr>
          <w:noProof w:val="0"/>
          <w:lang w:val="lv-LV"/>
        </w:rPr>
        <w:t xml:space="preserve"> </w:t>
      </w:r>
    </w:p>
    <w:p w:rsidR="5324693A" w:rsidP="5324693A" w:rsidRDefault="5324693A" w14:paraId="20A29801" w14:textId="5B844E04">
      <w:pPr>
        <w:ind w:left="-20" w:right="-20"/>
      </w:pPr>
    </w:p>
    <w:p w:rsidR="5324693A" w:rsidP="5324693A" w:rsidRDefault="5324693A" w14:paraId="520F674F" w14:textId="548EC951">
      <w:pPr>
        <w:ind w:left="-20" w:right="-20"/>
      </w:pPr>
    </w:p>
    <w:p w:rsidR="14F30B95" w:rsidP="5324693A" w:rsidRDefault="14F30B95" w14:paraId="1A180F87" w14:textId="685271F2">
      <w:pPr>
        <w:spacing w:line="257" w:lineRule="auto"/>
      </w:pPr>
      <w:hyperlink w:anchor="_ftnref1" r:id="R458a74d1512e4ca4">
        <w:r w:rsidRPr="5324693A" w:rsidR="14F30B95">
          <w:rPr>
            <w:rStyle w:val="Hyperlink"/>
            <w:rFonts w:ascii="Times New Roman" w:hAnsi="Times New Roman" w:eastAsia="Times New Roman" w:cs="Times New Roman"/>
            <w:noProof w:val="0"/>
            <w:sz w:val="16"/>
            <w:szCs w:val="16"/>
            <w:vertAlign w:val="superscript"/>
            <w:lang w:val="lv-LV"/>
          </w:rPr>
          <w:t>[1]</w:t>
        </w:r>
      </w:hyperlink>
      <w:r w:rsidRPr="5324693A" w:rsidR="14F30B95">
        <w:rPr>
          <w:rFonts w:ascii="Times New Roman" w:hAnsi="Times New Roman" w:eastAsia="Times New Roman" w:cs="Times New Roman"/>
          <w:noProof w:val="0"/>
          <w:sz w:val="16"/>
          <w:szCs w:val="16"/>
          <w:lang w:val="lv-LV"/>
        </w:rPr>
        <w:t xml:space="preserve"> </w:t>
      </w:r>
      <w:hyperlink r:id="R6a317e989a7c45a8">
        <w:r w:rsidRPr="5324693A" w:rsidR="14F30B95">
          <w:rPr>
            <w:rStyle w:val="Hyperlink"/>
            <w:rFonts w:ascii="Times New Roman" w:hAnsi="Times New Roman" w:eastAsia="Times New Roman" w:cs="Times New Roman"/>
            <w:noProof w:val="0"/>
            <w:color w:val="0000FF"/>
            <w:sz w:val="16"/>
            <w:szCs w:val="16"/>
            <w:u w:val="single"/>
            <w:lang w:val="lv-LV"/>
          </w:rPr>
          <w:t>https://dati.zva.gov.lv/zalu-registrs/info/EU/1/13/887/004?r=aHR0cHM6Ly9kYXRpLnp2YS5nb3YubHYvemFsdS1yZWdpc3Rycy8%2FaXNzPTEmYW1wO3E9VmFjY2ludW0raW5mbHVlbnphZSslMjh2aXZ1bSUyQythdHRlbnVhdHVtJTJDK2ludHJhbmFzYWxlJTI5</w:t>
        </w:r>
      </w:hyperlink>
      <w:r w:rsidRPr="5324693A" w:rsidR="14F30B95">
        <w:rPr>
          <w:rFonts w:ascii="Times New Roman" w:hAnsi="Times New Roman" w:eastAsia="Times New Roman" w:cs="Times New Roman"/>
          <w:noProof w:val="0"/>
          <w:color w:val="000000" w:themeColor="text1" w:themeTint="FF" w:themeShade="FF"/>
          <w:sz w:val="16"/>
          <w:szCs w:val="16"/>
          <w:lang w:val="lv-LV"/>
        </w:rPr>
        <w:t xml:space="preserve">  </w:t>
      </w:r>
    </w:p>
    <w:p w:rsidR="14F30B95" w:rsidP="5324693A" w:rsidRDefault="14F30B95" w14:paraId="268E53A5" w14:textId="6BC95092">
      <w:pPr>
        <w:spacing w:line="257" w:lineRule="auto"/>
      </w:pPr>
      <w:hyperlink w:anchor="_ftnref2" r:id="R53bffc9f50404ca6">
        <w:r w:rsidRPr="5324693A" w:rsidR="14F30B95">
          <w:rPr>
            <w:rStyle w:val="Hyperlink"/>
            <w:rFonts w:ascii="Times New Roman" w:hAnsi="Times New Roman" w:eastAsia="Times New Roman" w:cs="Times New Roman"/>
            <w:noProof w:val="0"/>
            <w:sz w:val="16"/>
            <w:szCs w:val="16"/>
            <w:vertAlign w:val="superscript"/>
            <w:lang w:val="lv-LV"/>
          </w:rPr>
          <w:t>[2]</w:t>
        </w:r>
      </w:hyperlink>
      <w:r w:rsidRPr="5324693A" w:rsidR="14F30B95">
        <w:rPr>
          <w:rFonts w:ascii="Times New Roman" w:hAnsi="Times New Roman" w:eastAsia="Times New Roman" w:cs="Times New Roman"/>
          <w:noProof w:val="0"/>
          <w:sz w:val="16"/>
          <w:szCs w:val="16"/>
          <w:lang w:val="lv-LV"/>
        </w:rPr>
        <w:t xml:space="preserve"> </w:t>
      </w:r>
      <w:hyperlink r:id="Rdea78b541db441f7">
        <w:r w:rsidRPr="5324693A" w:rsidR="14F30B95">
          <w:rPr>
            <w:rStyle w:val="Hyperlink"/>
            <w:rFonts w:ascii="Times New Roman" w:hAnsi="Times New Roman" w:eastAsia="Times New Roman" w:cs="Times New Roman"/>
            <w:noProof w:val="0"/>
            <w:color w:val="0000FF"/>
            <w:sz w:val="16"/>
            <w:szCs w:val="16"/>
            <w:u w:val="single"/>
            <w:lang w:val="lv-LV"/>
          </w:rPr>
          <w:t>https://www.spkc.gov.lv/lv/valsts-apmaksata-vakcinacija-pret-sezonalo-gripu</w:t>
        </w:r>
      </w:hyperlink>
    </w:p>
    <w:p w:rsidR="5324693A" w:rsidP="5324693A" w:rsidRDefault="5324693A" w14:paraId="685CB915" w14:textId="0BB88446">
      <w:pPr>
        <w:pStyle w:val="NormalWeb"/>
        <w:spacing w:before="0" w:beforeAutospacing="off" w:after="0" w:afterAutospacing="off"/>
        <w:ind w:firstLine="720"/>
        <w:jc w:val="both"/>
        <w:rPr>
          <w:rFonts w:ascii="Times New Roman" w:hAnsi="Times New Roman" w:cs="Times New Roman" w:asciiTheme="majorBidi" w:hAnsiTheme="majorBidi" w:cstheme="majorBidi"/>
          <w:color w:val="000000" w:themeColor="text1" w:themeTint="FF" w:themeShade="FF"/>
        </w:rPr>
      </w:pPr>
    </w:p>
    <w:p w:rsidRPr="00076C4C" w:rsidR="00BB12D0" w:rsidP="67FBB473" w:rsidRDefault="00BB12D0" w14:paraId="4F0E7EC7" w14:textId="0828768B">
      <w:pPr>
        <w:spacing w:after="0" w:line="240" w:lineRule="auto"/>
        <w:jc w:val="both"/>
        <w:rPr>
          <w:rFonts w:asciiTheme="majorBidi" w:hAnsiTheme="majorBidi" w:cstheme="majorBidi"/>
          <w:sz w:val="24"/>
          <w:szCs w:val="24"/>
        </w:rPr>
      </w:pPr>
    </w:p>
    <w:sectPr w:rsidRPr="00076C4C" w:rsidR="00BB12D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4C"/>
    <w:rsid w:val="00076C4C"/>
    <w:rsid w:val="00114969"/>
    <w:rsid w:val="0024D7A9"/>
    <w:rsid w:val="002519DF"/>
    <w:rsid w:val="007E5800"/>
    <w:rsid w:val="0083467F"/>
    <w:rsid w:val="00BB12D0"/>
    <w:rsid w:val="00CA1083"/>
    <w:rsid w:val="00E96806"/>
    <w:rsid w:val="00F45422"/>
    <w:rsid w:val="01F5F6BE"/>
    <w:rsid w:val="01FDBC36"/>
    <w:rsid w:val="0293551A"/>
    <w:rsid w:val="041DAD3B"/>
    <w:rsid w:val="04529BBA"/>
    <w:rsid w:val="04EB26A7"/>
    <w:rsid w:val="053D94BB"/>
    <w:rsid w:val="05AE69E3"/>
    <w:rsid w:val="064338A9"/>
    <w:rsid w:val="08F90BE4"/>
    <w:rsid w:val="0A8CEEBF"/>
    <w:rsid w:val="0B27FAC8"/>
    <w:rsid w:val="0C1DAB67"/>
    <w:rsid w:val="0F684D68"/>
    <w:rsid w:val="14F30B95"/>
    <w:rsid w:val="152793F8"/>
    <w:rsid w:val="15C6B8BC"/>
    <w:rsid w:val="16D4DCAE"/>
    <w:rsid w:val="173145A7"/>
    <w:rsid w:val="1797D9EE"/>
    <w:rsid w:val="1806A298"/>
    <w:rsid w:val="1920E5A1"/>
    <w:rsid w:val="1998EABB"/>
    <w:rsid w:val="19D64DC0"/>
    <w:rsid w:val="1A092B44"/>
    <w:rsid w:val="1A7ED673"/>
    <w:rsid w:val="1AD078EA"/>
    <w:rsid w:val="1D0E69C7"/>
    <w:rsid w:val="1FB3AC10"/>
    <w:rsid w:val="21E1DAEA"/>
    <w:rsid w:val="21FD2E56"/>
    <w:rsid w:val="2853477D"/>
    <w:rsid w:val="29D9AE27"/>
    <w:rsid w:val="2AB2E7F7"/>
    <w:rsid w:val="2AF499BB"/>
    <w:rsid w:val="2B586D97"/>
    <w:rsid w:val="2B9BBE6F"/>
    <w:rsid w:val="2BD5882F"/>
    <w:rsid w:val="2F01B6D4"/>
    <w:rsid w:val="2FA59D18"/>
    <w:rsid w:val="3036D3AC"/>
    <w:rsid w:val="30EABFD1"/>
    <w:rsid w:val="31E77DE0"/>
    <w:rsid w:val="32689923"/>
    <w:rsid w:val="3301C1DB"/>
    <w:rsid w:val="33A6D054"/>
    <w:rsid w:val="349D923C"/>
    <w:rsid w:val="362373EE"/>
    <w:rsid w:val="3639629D"/>
    <w:rsid w:val="37C15DD9"/>
    <w:rsid w:val="3815AA6F"/>
    <w:rsid w:val="386F2DBE"/>
    <w:rsid w:val="395B14B0"/>
    <w:rsid w:val="3A6B0764"/>
    <w:rsid w:val="3C55EB46"/>
    <w:rsid w:val="3C7F6545"/>
    <w:rsid w:val="3D8E6833"/>
    <w:rsid w:val="3D9FA0C2"/>
    <w:rsid w:val="3E343BEE"/>
    <w:rsid w:val="3FB34761"/>
    <w:rsid w:val="3FC41D91"/>
    <w:rsid w:val="41D6639B"/>
    <w:rsid w:val="41E9ED55"/>
    <w:rsid w:val="451639C8"/>
    <w:rsid w:val="45918A4A"/>
    <w:rsid w:val="4623AF90"/>
    <w:rsid w:val="47515E06"/>
    <w:rsid w:val="478053BE"/>
    <w:rsid w:val="495FEC1E"/>
    <w:rsid w:val="49842834"/>
    <w:rsid w:val="4B7CD02C"/>
    <w:rsid w:val="4C01024E"/>
    <w:rsid w:val="4CF03638"/>
    <w:rsid w:val="4E3305C9"/>
    <w:rsid w:val="51760E1C"/>
    <w:rsid w:val="517DFF42"/>
    <w:rsid w:val="518437E5"/>
    <w:rsid w:val="5319CFA3"/>
    <w:rsid w:val="5324693A"/>
    <w:rsid w:val="55C4FD54"/>
    <w:rsid w:val="55F1A1E1"/>
    <w:rsid w:val="56508E49"/>
    <w:rsid w:val="56F97DD3"/>
    <w:rsid w:val="5885EE80"/>
    <w:rsid w:val="5B24E188"/>
    <w:rsid w:val="5CC0B1E9"/>
    <w:rsid w:val="5E7EC151"/>
    <w:rsid w:val="5FDBF47F"/>
    <w:rsid w:val="60BFEC02"/>
    <w:rsid w:val="61D7E825"/>
    <w:rsid w:val="62368D07"/>
    <w:rsid w:val="6266D01C"/>
    <w:rsid w:val="6274F645"/>
    <w:rsid w:val="62922A1C"/>
    <w:rsid w:val="62A8813C"/>
    <w:rsid w:val="62D37A38"/>
    <w:rsid w:val="63AB0CE7"/>
    <w:rsid w:val="63CDB540"/>
    <w:rsid w:val="64ACBFD3"/>
    <w:rsid w:val="64FDF962"/>
    <w:rsid w:val="66EB6587"/>
    <w:rsid w:val="67FBB473"/>
    <w:rsid w:val="68036490"/>
    <w:rsid w:val="68386121"/>
    <w:rsid w:val="68EC6771"/>
    <w:rsid w:val="6A7A6D60"/>
    <w:rsid w:val="6A8A731B"/>
    <w:rsid w:val="6BA0BD03"/>
    <w:rsid w:val="6DA69C05"/>
    <w:rsid w:val="6FDCC252"/>
    <w:rsid w:val="70E9110B"/>
    <w:rsid w:val="71061F81"/>
    <w:rsid w:val="72740B3C"/>
    <w:rsid w:val="74BD8904"/>
    <w:rsid w:val="75DA816D"/>
    <w:rsid w:val="79A71CD9"/>
    <w:rsid w:val="7A2A4A55"/>
    <w:rsid w:val="7EBE55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B82"/>
  <w15:chartTrackingRefBased/>
  <w15:docId w15:val="{A5D274BF-B6F4-4F2A-914F-6499F3EF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xxelementtoproof" w:customStyle="1">
    <w:name w:val="x_x_x_elementtoproof"/>
    <w:basedOn w:val="Normal"/>
    <w:rsid w:val="00076C4C"/>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Hyperlink">
    <w:name w:val="Hyperlink"/>
    <w:basedOn w:val="DefaultParagraphFont"/>
    <w:uiPriority w:val="99"/>
    <w:unhideWhenUsed/>
    <w:rsid w:val="00076C4C"/>
    <w:rPr>
      <w:color w:val="0000FF"/>
      <w:u w:val="single"/>
    </w:rPr>
  </w:style>
  <w:style w:type="paragraph" w:styleId="NormalWeb">
    <w:name w:val="Normal (Web)"/>
    <w:basedOn w:val="Normal"/>
    <w:uiPriority w:val="99"/>
    <w:semiHidden/>
    <w:unhideWhenUsed/>
    <w:rsid w:val="00076C4C"/>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07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55524">
      <w:bodyDiv w:val="1"/>
      <w:marLeft w:val="0"/>
      <w:marRight w:val="0"/>
      <w:marTop w:val="0"/>
      <w:marBottom w:val="0"/>
      <w:divBdr>
        <w:top w:val="none" w:sz="0" w:space="0" w:color="auto"/>
        <w:left w:val="none" w:sz="0" w:space="0" w:color="auto"/>
        <w:bottom w:val="none" w:sz="0" w:space="0" w:color="auto"/>
        <w:right w:val="none" w:sz="0" w:space="0" w:color="auto"/>
      </w:divBdr>
    </w:div>
    <w:div w:id="342704305">
      <w:bodyDiv w:val="1"/>
      <w:marLeft w:val="0"/>
      <w:marRight w:val="0"/>
      <w:marTop w:val="0"/>
      <w:marBottom w:val="0"/>
      <w:divBdr>
        <w:top w:val="none" w:sz="0" w:space="0" w:color="auto"/>
        <w:left w:val="none" w:sz="0" w:space="0" w:color="auto"/>
        <w:bottom w:val="none" w:sz="0" w:space="0" w:color="auto"/>
        <w:right w:val="none" w:sz="0" w:space="0" w:color="auto"/>
      </w:divBdr>
    </w:div>
    <w:div w:id="572473018">
      <w:bodyDiv w:val="1"/>
      <w:marLeft w:val="0"/>
      <w:marRight w:val="0"/>
      <w:marTop w:val="0"/>
      <w:marBottom w:val="0"/>
      <w:divBdr>
        <w:top w:val="none" w:sz="0" w:space="0" w:color="auto"/>
        <w:left w:val="none" w:sz="0" w:space="0" w:color="auto"/>
        <w:bottom w:val="none" w:sz="0" w:space="0" w:color="auto"/>
        <w:right w:val="none" w:sz="0" w:space="0" w:color="auto"/>
      </w:divBdr>
    </w:div>
    <w:div w:id="1678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euc-word-edit.officeapps.live.com/we/wordeditorframe.aspx?ui=en%2DUS&amp;rs=en%2DUS&amp;wopisrc=https%3A%2F%2Fveselibasministrija-my.sharepoint.com%2Fpersonal%2Flinda_krauze_spkc_gov_lv%2F_vti_bin%2Fwopi.ashx%2Ffiles%2F762b29c388944ce9af325cf08bb5a13a&amp;wdenableroaming=1&amp;mscc=1&amp;wdodb=1&amp;hid=62FA53A8-6EEA-4F24-9859-D93AF86AA31D&amp;wdorigin=OWA-NT.Sharing.ServerTransfer&amp;wdhostclicktime=1702461186049&amp;jsapi=1&amp;jsapiver=v1&amp;newsession=1&amp;corrid=209a27e2-5239-4c0e-86cd-5dc44e60d4a7&amp;usid=209a27e2-5239-4c0e-86cd-5dc44e60d4a7&amp;sftc=1&amp;cac=1&amp;mtf=1&amp;sfp=1&amp;instantedit=1&amp;wopicomplete=1&amp;wdredirectionreason=Unified_SingleFlush&amp;rct=Normal&amp;ctp=LeastProtected" TargetMode="External" Id="R58353a8a0b0447f8" /><Relationship Type="http://schemas.openxmlformats.org/officeDocument/2006/relationships/hyperlink" Target="https://euc-word-edit.officeapps.live.com/we/wordeditorframe.aspx?ui=en%2DUS&amp;rs=en%2DUS&amp;wopisrc=https%3A%2F%2Fveselibasministrija-my.sharepoint.com%2Fpersonal%2Flinda_krauze_spkc_gov_lv%2F_vti_bin%2Fwopi.ashx%2Ffiles%2F762b29c388944ce9af325cf08bb5a13a&amp;wdenableroaming=1&amp;mscc=1&amp;wdodb=1&amp;hid=62FA53A8-6EEA-4F24-9859-D93AF86AA31D&amp;wdorigin=OWA-NT.Sharing.ServerTransfer&amp;wdhostclicktime=1702461186049&amp;jsapi=1&amp;jsapiver=v1&amp;newsession=1&amp;corrid=209a27e2-5239-4c0e-86cd-5dc44e60d4a7&amp;usid=209a27e2-5239-4c0e-86cd-5dc44e60d4a7&amp;sftc=1&amp;cac=1&amp;mtf=1&amp;sfp=1&amp;instantedit=1&amp;wopicomplete=1&amp;wdredirectionreason=Unified_SingleFlush&amp;rct=Normal&amp;ctp=LeastProtected" TargetMode="External" Id="R5d3debf09f1f4acd" /><Relationship Type="http://schemas.openxmlformats.org/officeDocument/2006/relationships/hyperlink" Target="https://euc-word-edit.officeapps.live.com/we/wordeditorframe.aspx?ui=en%2DUS&amp;rs=en%2DUS&amp;wopisrc=https%3A%2F%2Fveselibasministrija-my.sharepoint.com%2Fpersonal%2Flinda_krauze_spkc_gov_lv%2F_vti_bin%2Fwopi.ashx%2Ffiles%2F762b29c388944ce9af325cf08bb5a13a&amp;wdenableroaming=1&amp;mscc=1&amp;wdodb=1&amp;hid=62FA53A8-6EEA-4F24-9859-D93AF86AA31D&amp;wdorigin=OWA-NT.Sharing.ServerTransfer&amp;wdhostclicktime=1702461186049&amp;jsapi=1&amp;jsapiver=v1&amp;newsession=1&amp;corrid=209a27e2-5239-4c0e-86cd-5dc44e60d4a7&amp;usid=209a27e2-5239-4c0e-86cd-5dc44e60d4a7&amp;sftc=1&amp;cac=1&amp;mtf=1&amp;sfp=1&amp;instantedit=1&amp;wopicomplete=1&amp;wdredirectionreason=Unified_SingleFlush&amp;rct=Normal&amp;ctp=LeastProtected" TargetMode="External" Id="R458a74d1512e4ca4" /><Relationship Type="http://schemas.openxmlformats.org/officeDocument/2006/relationships/hyperlink" Target="https://dati.zva.gov.lv/zalu-registrs/info/EU/1/13/887/004?r=aHR0cHM6Ly9kYXRpLnp2YS5nb3YubHYvemFsdS1yZWdpc3Rycy8%2FaXNzPTEmYW1wO3E9VmFjY2ludW0raW5mbHVlbnphZSslMjh2aXZ1bSUyQythdHRlbnVhdHVtJTJDK2ludHJhbmFzYWxlJTI5" TargetMode="External" Id="R6a317e989a7c45a8" /><Relationship Type="http://schemas.openxmlformats.org/officeDocument/2006/relationships/hyperlink" Target="https://euc-word-edit.officeapps.live.com/we/wordeditorframe.aspx?ui=en%2DUS&amp;rs=en%2DUS&amp;wopisrc=https%3A%2F%2Fveselibasministrija-my.sharepoint.com%2Fpersonal%2Flinda_krauze_spkc_gov_lv%2F_vti_bin%2Fwopi.ashx%2Ffiles%2F762b29c388944ce9af325cf08bb5a13a&amp;wdenableroaming=1&amp;mscc=1&amp;wdodb=1&amp;hid=62FA53A8-6EEA-4F24-9859-D93AF86AA31D&amp;wdorigin=OWA-NT.Sharing.ServerTransfer&amp;wdhostclicktime=1702461186049&amp;jsapi=1&amp;jsapiver=v1&amp;newsession=1&amp;corrid=209a27e2-5239-4c0e-86cd-5dc44e60d4a7&amp;usid=209a27e2-5239-4c0e-86cd-5dc44e60d4a7&amp;sftc=1&amp;cac=1&amp;mtf=1&amp;sfp=1&amp;instantedit=1&amp;wopicomplete=1&amp;wdredirectionreason=Unified_SingleFlush&amp;rct=Normal&amp;ctp=LeastProtected" TargetMode="External" Id="R53bffc9f50404ca6" /><Relationship Type="http://schemas.openxmlformats.org/officeDocument/2006/relationships/hyperlink" Target="https://www.spkc.gov.lv/lv/valsts-apmaksata-vakcinacija-pret-sezonalo-gripu" TargetMode="External" Id="Rdea78b541db441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Krauze</dc:creator>
  <keywords/>
  <dc:description/>
  <lastModifiedBy>Linda Krauze</lastModifiedBy>
  <revision>6</revision>
  <dcterms:created xsi:type="dcterms:W3CDTF">2023-12-12T20:10:00.0000000Z</dcterms:created>
  <dcterms:modified xsi:type="dcterms:W3CDTF">2023-12-13T10:37:35.6747454Z</dcterms:modified>
</coreProperties>
</file>