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ECF0F" w14:textId="77777777" w:rsidR="00A24A6B" w:rsidRPr="00D5053F" w:rsidRDefault="00D66371" w:rsidP="003E7BBE">
      <w:pPr>
        <w:spacing w:before="360"/>
        <w:jc w:val="center"/>
        <w:rPr>
          <w:sz w:val="17"/>
          <w:szCs w:val="17"/>
        </w:rPr>
      </w:pPr>
      <w:r>
        <w:rPr>
          <w:noProof/>
          <w:lang w:eastAsia="lv-LV"/>
        </w:rPr>
        <w:drawing>
          <wp:anchor distT="0" distB="0" distL="114300" distR="114300" simplePos="0" relativeHeight="251660288" behindDoc="1" locked="0" layoutInCell="1" allowOverlap="1" wp14:anchorId="28FA80C5" wp14:editId="2D2AD19F">
            <wp:simplePos x="0" y="0"/>
            <wp:positionH relativeFrom="page">
              <wp:posOffset>1191260</wp:posOffset>
            </wp:positionH>
            <wp:positionV relativeFrom="page">
              <wp:posOffset>737870</wp:posOffset>
            </wp:positionV>
            <wp:extent cx="5668645" cy="1032510"/>
            <wp:effectExtent l="0" t="0" r="0" b="0"/>
            <wp:wrapSquare wrapText="bothSides"/>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668645" cy="1032510"/>
                    </a:xfrm>
                    <a:prstGeom prst="rect">
                      <a:avLst/>
                    </a:prstGeom>
                    <a:noFill/>
                  </pic:spPr>
                </pic:pic>
              </a:graphicData>
            </a:graphic>
            <wp14:sizeRelH relativeFrom="page">
              <wp14:pctWidth>0</wp14:pctWidth>
            </wp14:sizeRelH>
            <wp14:sizeRelV relativeFrom="margin">
              <wp14:pctHeight>0</wp14:pctHeight>
            </wp14:sizeRelV>
          </wp:anchor>
        </w:drawing>
      </w:r>
      <w:r>
        <w:rPr>
          <w:noProof/>
          <w:lang w:eastAsia="lv-LV"/>
        </w:rPr>
        <mc:AlternateContent>
          <mc:Choice Requires="wpg">
            <w:drawing>
              <wp:anchor distT="0" distB="0" distL="114300" distR="114300" simplePos="0" relativeHeight="251658240" behindDoc="1" locked="0" layoutInCell="1" allowOverlap="1" wp14:anchorId="5EB8823F" wp14:editId="6769A1A5">
                <wp:simplePos x="0" y="0"/>
                <wp:positionH relativeFrom="page">
                  <wp:posOffset>1850390</wp:posOffset>
                </wp:positionH>
                <wp:positionV relativeFrom="page">
                  <wp:posOffset>1911350</wp:posOffset>
                </wp:positionV>
                <wp:extent cx="4397375" cy="1270"/>
                <wp:effectExtent l="0" t="0" r="3175" b="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w14:anchorId="261F25A8" id="Group 41" o:spid="_x0000_s1026" style="position:absolute;margin-left:145.7pt;margin-top:150.5pt;width:346.25pt;height:.1pt;z-index:-251658240;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r w:rsidRPr="00D5053F">
        <w:rPr>
          <w:color w:val="231F20"/>
          <w:sz w:val="17"/>
          <w:szCs w:val="17"/>
        </w:rPr>
        <w:t xml:space="preserve">Duntes iela 22, </w:t>
      </w:r>
      <w:r w:rsidR="0055269A">
        <w:rPr>
          <w:color w:val="231F20"/>
          <w:sz w:val="17"/>
          <w:szCs w:val="17"/>
        </w:rPr>
        <w:t xml:space="preserve">K-5, </w:t>
      </w:r>
      <w:r w:rsidRPr="00D5053F">
        <w:rPr>
          <w:color w:val="231F20"/>
          <w:sz w:val="17"/>
          <w:szCs w:val="17"/>
        </w:rPr>
        <w:t xml:space="preserve">Rīga, LV-1005, tālr. 67501590, fakss 67501591, e-pasts </w:t>
      </w:r>
      <w:r w:rsidR="0055269A">
        <w:rPr>
          <w:color w:val="231F20"/>
          <w:sz w:val="17"/>
          <w:szCs w:val="17"/>
        </w:rPr>
        <w:t>pasts</w:t>
      </w:r>
      <w:r w:rsidRPr="00D5053F">
        <w:rPr>
          <w:color w:val="231F20"/>
          <w:sz w:val="17"/>
          <w:szCs w:val="17"/>
        </w:rPr>
        <w:t>@spkc.gov.lv</w:t>
      </w:r>
    </w:p>
    <w:p w14:paraId="0EEA58E1" w14:textId="77777777" w:rsidR="00E46A48" w:rsidRDefault="00D66371" w:rsidP="00E46A48">
      <w:pPr>
        <w:pStyle w:val="Header"/>
        <w:tabs>
          <w:tab w:val="clear" w:pos="4320"/>
        </w:tabs>
        <w:spacing w:before="480" w:after="480"/>
        <w:jc w:val="center"/>
        <w:rPr>
          <w:rFonts w:ascii="Times New Roman" w:hAnsi="Times New Roman"/>
          <w:noProof/>
        </w:rPr>
      </w:pPr>
      <w:r w:rsidRPr="001F3DE1">
        <w:rPr>
          <w:rFonts w:ascii="Times New Roman" w:hAnsi="Times New Roman"/>
          <w:noProof/>
        </w:rPr>
        <w:t>Rīgā</w:t>
      </w:r>
      <w:r>
        <w:rPr>
          <w:rFonts w:ascii="Times New Roman" w:hAnsi="Times New Roman"/>
          <w:noProof/>
        </w:rPr>
        <w:t xml:space="preserve"> </w:t>
      </w:r>
    </w:p>
    <w:p w14:paraId="12589940" w14:textId="77777777" w:rsidR="002079F2" w:rsidRPr="00195A3A" w:rsidRDefault="00D66371" w:rsidP="002079F2">
      <w:pPr>
        <w:pStyle w:val="Header"/>
        <w:tabs>
          <w:tab w:val="clear" w:pos="4320"/>
          <w:tab w:val="clear" w:pos="8640"/>
        </w:tabs>
        <w:spacing w:before="480" w:after="480"/>
        <w:ind w:right="4535"/>
        <w:jc w:val="both"/>
        <w:rPr>
          <w:rFonts w:ascii="Times New Roman" w:hAnsi="Times New Roman"/>
          <w:b/>
          <w:i/>
          <w:noProof/>
        </w:rPr>
      </w:pPr>
      <w:r>
        <w:rPr>
          <w:rFonts w:ascii="Times New Roman" w:hAnsi="Times New Roman"/>
          <w:b/>
          <w:i/>
          <w:noProof/>
        </w:rPr>
        <w:t>Par pāreju uz 15-valento vakcīnu pret pneimokoku infekciju</w:t>
      </w:r>
    </w:p>
    <w:p w14:paraId="6BFBF59A" w14:textId="77777777" w:rsidR="00D66371" w:rsidRPr="009A3941" w:rsidRDefault="00D66371" w:rsidP="00D66371">
      <w:pPr>
        <w:pStyle w:val="xelementtoproof"/>
        <w:shd w:val="clear" w:color="auto" w:fill="FFFFFF" w:themeFill="background1"/>
        <w:spacing w:before="0" w:beforeAutospacing="0" w:after="0" w:afterAutospacing="0"/>
        <w:ind w:firstLine="720"/>
        <w:jc w:val="both"/>
      </w:pPr>
      <w:r w:rsidRPr="5417E674">
        <w:rPr>
          <w:rFonts w:asciiTheme="majorBidi" w:hAnsiTheme="majorBidi" w:cstheme="majorBidi"/>
          <w:bdr w:val="none" w:sz="0" w:space="0" w:color="auto" w:frame="1"/>
        </w:rPr>
        <w:t>Slimību profilakses un kontroles centrs (turpmāk – Centrs) informē, ka, saskaņā ar Imunizācijas valsts padomes rekomendācijām bērnu vakcinācijas kalendārā esoš</w:t>
      </w:r>
      <w:r>
        <w:rPr>
          <w:rFonts w:asciiTheme="majorBidi" w:hAnsiTheme="majorBidi" w:cstheme="majorBidi"/>
          <w:bdr w:val="none" w:sz="0" w:space="0" w:color="auto" w:frame="1"/>
        </w:rPr>
        <w:t>ā</w:t>
      </w:r>
      <w:r w:rsidRPr="5417E674">
        <w:rPr>
          <w:rFonts w:asciiTheme="majorBidi" w:hAnsiTheme="majorBidi" w:cstheme="majorBidi"/>
          <w:bdr w:val="none" w:sz="0" w:space="0" w:color="auto" w:frame="1"/>
        </w:rPr>
        <w:t xml:space="preserve"> vakcīn</w:t>
      </w:r>
      <w:r>
        <w:rPr>
          <w:rFonts w:asciiTheme="majorBidi" w:hAnsiTheme="majorBidi" w:cstheme="majorBidi"/>
          <w:bdr w:val="none" w:sz="0" w:space="0" w:color="auto" w:frame="1"/>
        </w:rPr>
        <w:t>a</w:t>
      </w:r>
      <w:r w:rsidRPr="5417E674">
        <w:rPr>
          <w:rFonts w:asciiTheme="majorBidi" w:hAnsiTheme="majorBidi" w:cstheme="majorBidi"/>
          <w:bdr w:val="none" w:sz="0" w:space="0" w:color="auto" w:frame="1"/>
        </w:rPr>
        <w:t xml:space="preserve"> pret pneimokoku infekciju ar desmit </w:t>
      </w:r>
      <w:r w:rsidRPr="5417E674">
        <w:rPr>
          <w:rFonts w:asciiTheme="majorBidi" w:hAnsiTheme="majorBidi" w:cstheme="majorBidi"/>
          <w:i/>
          <w:iCs/>
          <w:bdr w:val="none" w:sz="0" w:space="0" w:color="auto" w:frame="1"/>
        </w:rPr>
        <w:t>S. pneumoniae</w:t>
      </w:r>
      <w:r w:rsidRPr="5417E674">
        <w:rPr>
          <w:rFonts w:asciiTheme="majorBidi" w:hAnsiTheme="majorBidi" w:cstheme="majorBidi"/>
          <w:bdr w:val="none" w:sz="0" w:space="0" w:color="auto" w:frame="1"/>
        </w:rPr>
        <w:t xml:space="preserve"> serotipiem </w:t>
      </w:r>
      <w:r>
        <w:rPr>
          <w:rFonts w:asciiTheme="majorBidi" w:hAnsiTheme="majorBidi" w:cstheme="majorBidi"/>
          <w:bdr w:val="none" w:sz="0" w:space="0" w:color="auto" w:frame="1"/>
        </w:rPr>
        <w:t xml:space="preserve">tiek </w:t>
      </w:r>
      <w:r w:rsidRPr="5417E674">
        <w:rPr>
          <w:rFonts w:asciiTheme="majorBidi" w:hAnsiTheme="majorBidi" w:cstheme="majorBidi"/>
          <w:bdr w:val="none" w:sz="0" w:space="0" w:color="auto" w:frame="1"/>
        </w:rPr>
        <w:t>nomainīt</w:t>
      </w:r>
      <w:r>
        <w:rPr>
          <w:rFonts w:asciiTheme="majorBidi" w:hAnsiTheme="majorBidi" w:cstheme="majorBidi"/>
          <w:bdr w:val="none" w:sz="0" w:space="0" w:color="auto" w:frame="1"/>
        </w:rPr>
        <w:t>a</w:t>
      </w:r>
      <w:r w:rsidRPr="5417E674">
        <w:rPr>
          <w:rFonts w:asciiTheme="majorBidi" w:hAnsiTheme="majorBidi" w:cstheme="majorBidi"/>
          <w:bdr w:val="none" w:sz="0" w:space="0" w:color="auto" w:frame="1"/>
        </w:rPr>
        <w:t xml:space="preserve"> pret pneimokoku vakcīnu ar plašāku </w:t>
      </w:r>
      <w:r w:rsidRPr="5417E674">
        <w:rPr>
          <w:rFonts w:asciiTheme="majorBidi" w:hAnsiTheme="majorBidi" w:cstheme="majorBidi"/>
          <w:i/>
          <w:iCs/>
          <w:bdr w:val="none" w:sz="0" w:space="0" w:color="auto" w:frame="1"/>
        </w:rPr>
        <w:t>S. pneumoniae</w:t>
      </w:r>
      <w:r w:rsidRPr="5417E674">
        <w:rPr>
          <w:rFonts w:asciiTheme="majorBidi" w:hAnsiTheme="majorBidi" w:cstheme="majorBidi"/>
          <w:bdr w:val="none" w:sz="0" w:space="0" w:color="auto" w:frame="1"/>
        </w:rPr>
        <w:t xml:space="preserve"> serotipu klāstu</w:t>
      </w:r>
      <w:r>
        <w:rPr>
          <w:rFonts w:asciiTheme="majorBidi" w:hAnsiTheme="majorBidi" w:cstheme="majorBidi"/>
          <w:bdr w:val="none" w:sz="0" w:space="0" w:color="auto" w:frame="1"/>
        </w:rPr>
        <w:t>.</w:t>
      </w:r>
      <w:r w:rsidRPr="5417E674">
        <w:rPr>
          <w:rFonts w:asciiTheme="majorBidi" w:hAnsiTheme="majorBidi" w:cstheme="majorBidi"/>
          <w:bdr w:val="none" w:sz="0" w:space="0" w:color="auto" w:frame="1"/>
        </w:rPr>
        <w:t xml:space="preserve"> Nacionālā veselības dienesta rīkota</w:t>
      </w:r>
      <w:r>
        <w:rPr>
          <w:rFonts w:asciiTheme="majorBidi" w:hAnsiTheme="majorBidi" w:cstheme="majorBidi"/>
          <w:bdr w:val="none" w:sz="0" w:space="0" w:color="auto" w:frame="1"/>
        </w:rPr>
        <w:t>jā</w:t>
      </w:r>
      <w:r w:rsidRPr="5417E674">
        <w:rPr>
          <w:rFonts w:asciiTheme="majorBidi" w:hAnsiTheme="majorBidi" w:cstheme="majorBidi"/>
          <w:bdr w:val="none" w:sz="0" w:space="0" w:color="auto" w:frame="1"/>
        </w:rPr>
        <w:t xml:space="preserve"> atklātajā konkursā  “Vakcīnu un šļirču </w:t>
      </w:r>
      <w:r w:rsidRPr="5417E674">
        <w:rPr>
          <w:bdr w:val="none" w:sz="0" w:space="0" w:color="auto" w:frame="1"/>
        </w:rPr>
        <w:t>piegāde” valsts imunizācijas programmas ietvaros </w:t>
      </w:r>
      <w:r w:rsidRPr="5417E674">
        <w:rPr>
          <w:bdr w:val="none" w:sz="0" w:space="0" w:color="auto" w:frame="1"/>
          <w:shd w:val="clear" w:color="auto" w:fill="FFFFFF"/>
        </w:rPr>
        <w:t>2024. – 2025. gada </w:t>
      </w:r>
      <w:r w:rsidRPr="5417E674">
        <w:rPr>
          <w:bdr w:val="none" w:sz="0" w:space="0" w:color="auto" w:frame="1"/>
        </w:rPr>
        <w:t>iepirkumam vienā no pozīcijām uzvarēja AS “Recipe Plus” ar vakcīnu </w:t>
      </w:r>
      <w:r w:rsidRPr="5417E674">
        <w:rPr>
          <w:b/>
          <w:bCs/>
          <w:bdr w:val="none" w:sz="0" w:space="0" w:color="auto" w:frame="1"/>
        </w:rPr>
        <w:t>“Vaxneuvance”</w:t>
      </w:r>
      <w:r w:rsidRPr="5417E674">
        <w:rPr>
          <w:bdr w:val="none" w:sz="0" w:space="0" w:color="auto" w:frame="1"/>
        </w:rPr>
        <w:t xml:space="preserve"> (pneimokoku polisaharīdu konjugēta vakcīna, </w:t>
      </w:r>
      <w:r w:rsidRPr="5417E674">
        <w:rPr>
          <w:b/>
          <w:bCs/>
          <w:bdr w:val="none" w:sz="0" w:space="0" w:color="auto" w:frame="1"/>
        </w:rPr>
        <w:t>15-valenta</w:t>
      </w:r>
      <w:r w:rsidRPr="5417E674">
        <w:rPr>
          <w:bdr w:val="none" w:sz="0" w:space="0" w:color="auto" w:frame="1"/>
        </w:rPr>
        <w:t>, adsorbēta</w:t>
      </w:r>
      <w:r w:rsidR="00F076EE">
        <w:rPr>
          <w:bdr w:val="none" w:sz="0" w:space="0" w:color="auto" w:frame="1"/>
        </w:rPr>
        <w:t>,</w:t>
      </w:r>
      <w:r w:rsidR="00F076EE" w:rsidRPr="00F076EE">
        <w:rPr>
          <w:bdr w:val="none" w:sz="0" w:space="0" w:color="auto" w:frame="1"/>
        </w:rPr>
        <w:t xml:space="preserve"> </w:t>
      </w:r>
      <w:r w:rsidR="00F076EE" w:rsidRPr="5417E674">
        <w:rPr>
          <w:bdr w:val="none" w:sz="0" w:space="0" w:color="auto" w:frame="1"/>
        </w:rPr>
        <w:t xml:space="preserve">ražotājs ir </w:t>
      </w:r>
      <w:r w:rsidR="00F076EE">
        <w:rPr>
          <w:bdr w:val="none" w:sz="0" w:space="0" w:color="auto" w:frame="1"/>
        </w:rPr>
        <w:t>“</w:t>
      </w:r>
      <w:r w:rsidR="00F076EE" w:rsidRPr="5417E674">
        <w:rPr>
          <w:bdr w:val="none" w:sz="0" w:space="0" w:color="auto" w:frame="1"/>
        </w:rPr>
        <w:t>Merck Sharp &amp; Dohme B.V.</w:t>
      </w:r>
      <w:r w:rsidR="00F076EE">
        <w:rPr>
          <w:bdr w:val="none" w:sz="0" w:space="0" w:color="auto" w:frame="1"/>
        </w:rPr>
        <w:t>”</w:t>
      </w:r>
      <w:r w:rsidRPr="5417E674">
        <w:rPr>
          <w:bdr w:val="none" w:sz="0" w:space="0" w:color="auto" w:frame="1"/>
        </w:rPr>
        <w:t>).</w:t>
      </w:r>
    </w:p>
    <w:p w14:paraId="3C0A0E7B" w14:textId="77777777" w:rsidR="00D66371" w:rsidRPr="009A3941" w:rsidRDefault="00D66371" w:rsidP="00D66371">
      <w:pPr>
        <w:pStyle w:val="xelementtoproof"/>
        <w:shd w:val="clear" w:color="auto" w:fill="FFFFFF" w:themeFill="background1"/>
        <w:spacing w:before="0" w:beforeAutospacing="0" w:after="0" w:afterAutospacing="0"/>
        <w:ind w:firstLine="720"/>
        <w:jc w:val="both"/>
        <w:rPr>
          <w:color w:val="000000" w:themeColor="text1"/>
        </w:rPr>
      </w:pPr>
      <w:r w:rsidRPr="5417E674">
        <w:rPr>
          <w:bdr w:val="none" w:sz="0" w:space="0" w:color="auto" w:frame="1"/>
        </w:rPr>
        <w:t>Atšķirībā no pašreiz izmantotā</w:t>
      </w:r>
      <w:r w:rsidRPr="5417E674">
        <w:rPr>
          <w:color w:val="000000" w:themeColor="text1"/>
        </w:rPr>
        <w:t>s vakcīnas pret pneimokoku infekciju “Synflorix</w:t>
      </w:r>
      <w:r w:rsidRPr="5417E674">
        <w:rPr>
          <w:bdr w:val="none" w:sz="0" w:space="0" w:color="auto" w:frame="1"/>
        </w:rPr>
        <w:t xml:space="preserve">”, kas satur </w:t>
      </w:r>
      <w:r>
        <w:rPr>
          <w:bdr w:val="none" w:sz="0" w:space="0" w:color="auto" w:frame="1"/>
        </w:rPr>
        <w:t>10</w:t>
      </w:r>
      <w:r w:rsidRPr="5417E674">
        <w:rPr>
          <w:bdr w:val="none" w:sz="0" w:space="0" w:color="auto" w:frame="1"/>
        </w:rPr>
        <w:t xml:space="preserve"> </w:t>
      </w:r>
      <w:r w:rsidRPr="5417E674">
        <w:rPr>
          <w:i/>
          <w:iCs/>
          <w:color w:val="000000" w:themeColor="text1"/>
        </w:rPr>
        <w:t>S. pneumoniae</w:t>
      </w:r>
      <w:r w:rsidRPr="5417E674">
        <w:rPr>
          <w:i/>
          <w:iCs/>
          <w:bdr w:val="none" w:sz="0" w:space="0" w:color="auto" w:frame="1"/>
        </w:rPr>
        <w:t xml:space="preserve"> </w:t>
      </w:r>
      <w:r w:rsidRPr="5417E674">
        <w:rPr>
          <w:bdr w:val="none" w:sz="0" w:space="0" w:color="auto" w:frame="1"/>
        </w:rPr>
        <w:t>serotip</w:t>
      </w:r>
      <w:r>
        <w:rPr>
          <w:bdr w:val="none" w:sz="0" w:space="0" w:color="auto" w:frame="1"/>
        </w:rPr>
        <w:t>u</w:t>
      </w:r>
      <w:r w:rsidRPr="5417E674">
        <w:rPr>
          <w:color w:val="000000" w:themeColor="text1"/>
        </w:rPr>
        <w:t xml:space="preserve"> </w:t>
      </w:r>
      <w:r w:rsidRPr="5417E674">
        <w:rPr>
          <w:bdr w:val="none" w:sz="0" w:space="0" w:color="auto" w:frame="1"/>
        </w:rPr>
        <w:t>polisaharīdus (</w:t>
      </w:r>
      <w:r w:rsidRPr="5417E674">
        <w:t>1, 4, 5, 6B, 7F, 9V, 14, 18C, 19F, 23F</w:t>
      </w:r>
      <w:r w:rsidRPr="5417E674">
        <w:rPr>
          <w:bdr w:val="none" w:sz="0" w:space="0" w:color="auto" w:frame="1"/>
        </w:rPr>
        <w:t xml:space="preserve">), vakcīna “Vaxneuvance” satur piecus papildu </w:t>
      </w:r>
      <w:r w:rsidRPr="5417E674">
        <w:rPr>
          <w:i/>
          <w:iCs/>
          <w:bdr w:val="none" w:sz="0" w:space="0" w:color="auto" w:frame="1"/>
        </w:rPr>
        <w:t>S. pneumoniae</w:t>
      </w:r>
      <w:r w:rsidRPr="5417E674">
        <w:rPr>
          <w:bdr w:val="none" w:sz="0" w:space="0" w:color="auto" w:frame="1"/>
        </w:rPr>
        <w:t xml:space="preserve"> serotip</w:t>
      </w:r>
      <w:r>
        <w:rPr>
          <w:bdr w:val="none" w:sz="0" w:space="0" w:color="auto" w:frame="1"/>
        </w:rPr>
        <w:t>u</w:t>
      </w:r>
      <w:r w:rsidRPr="5417E674">
        <w:rPr>
          <w:bdr w:val="none" w:sz="0" w:space="0" w:color="auto" w:frame="1"/>
        </w:rPr>
        <w:t xml:space="preserve"> polisahar</w:t>
      </w:r>
      <w:r w:rsidR="00F076EE">
        <w:rPr>
          <w:bdr w:val="none" w:sz="0" w:space="0" w:color="auto" w:frame="1"/>
        </w:rPr>
        <w:t>īdus (3, 6A, 19A, 22F, un 33F).</w:t>
      </w:r>
    </w:p>
    <w:p w14:paraId="68DA5022" w14:textId="77777777" w:rsidR="00D66371" w:rsidRPr="009A3941" w:rsidRDefault="00D66371" w:rsidP="00D66371">
      <w:pPr>
        <w:pStyle w:val="xelementtoproof"/>
        <w:shd w:val="clear" w:color="auto" w:fill="FFFFFF" w:themeFill="background1"/>
        <w:spacing w:before="0" w:beforeAutospacing="0" w:after="0" w:afterAutospacing="0"/>
        <w:ind w:firstLine="720"/>
        <w:jc w:val="both"/>
        <w:rPr>
          <w:bdr w:val="none" w:sz="0" w:space="0" w:color="auto" w:frame="1"/>
        </w:rPr>
      </w:pPr>
      <w:r w:rsidRPr="5417E674">
        <w:rPr>
          <w:color w:val="000000" w:themeColor="text1"/>
        </w:rPr>
        <w:t xml:space="preserve">Epidemioloģiskās uzraudzības dati liecina, ka pašreiz </w:t>
      </w:r>
      <w:r w:rsidRPr="5417E674">
        <w:rPr>
          <w:bdr w:val="none" w:sz="0" w:space="0" w:color="auto" w:frame="1"/>
        </w:rPr>
        <w:t>invazī</w:t>
      </w:r>
      <w:r w:rsidRPr="5417E674">
        <w:rPr>
          <w:color w:val="000000" w:themeColor="text1"/>
        </w:rPr>
        <w:t>vo</w:t>
      </w:r>
      <w:r w:rsidRPr="5417E674">
        <w:rPr>
          <w:bdr w:val="none" w:sz="0" w:space="0" w:color="auto" w:frame="1"/>
        </w:rPr>
        <w:t xml:space="preserve"> pneimokoku infekciju Latvijā </w:t>
      </w:r>
      <w:r w:rsidRPr="5417E674">
        <w:rPr>
          <w:color w:val="000000" w:themeColor="text1"/>
        </w:rPr>
        <w:t xml:space="preserve">visbiežāk </w:t>
      </w:r>
      <w:r w:rsidRPr="5417E674">
        <w:rPr>
          <w:bdr w:val="none" w:sz="0" w:space="0" w:color="auto" w:frame="1"/>
        </w:rPr>
        <w:t xml:space="preserve">izraisa </w:t>
      </w:r>
      <w:r w:rsidRPr="5417E674">
        <w:rPr>
          <w:i/>
          <w:iCs/>
          <w:color w:val="000000" w:themeColor="text1"/>
        </w:rPr>
        <w:t xml:space="preserve">S. pneumoniae </w:t>
      </w:r>
      <w:r w:rsidRPr="5417E674">
        <w:rPr>
          <w:color w:val="000000" w:themeColor="text1"/>
        </w:rPr>
        <w:t xml:space="preserve">serotipi 19A un 3 (35,3 % no visiem gadījumiem 2022. gadā Latvijā), kas ir iekļauti </w:t>
      </w:r>
      <w:r w:rsidRPr="003359AF">
        <w:rPr>
          <w:bdr w:val="none" w:sz="0" w:space="0" w:color="auto" w:frame="1"/>
        </w:rPr>
        <w:t>15-valent</w:t>
      </w:r>
      <w:r>
        <w:rPr>
          <w:bdr w:val="none" w:sz="0" w:space="0" w:color="auto" w:frame="1"/>
        </w:rPr>
        <w:t>ās</w:t>
      </w:r>
      <w:r w:rsidRPr="5417E674">
        <w:rPr>
          <w:color w:val="000000" w:themeColor="text1"/>
        </w:rPr>
        <w:t xml:space="preserve"> vakcīnas “Vaxneuvance” sastāvā.</w:t>
      </w:r>
    </w:p>
    <w:p w14:paraId="1A41252F" w14:textId="77777777" w:rsidR="00D66371" w:rsidRDefault="00D66371" w:rsidP="00D66371">
      <w:pPr>
        <w:pStyle w:val="xelementtoproof"/>
        <w:shd w:val="clear" w:color="auto" w:fill="FFFFFF" w:themeFill="background1"/>
        <w:spacing w:before="0" w:beforeAutospacing="0" w:after="0" w:afterAutospacing="0"/>
        <w:ind w:firstLine="720"/>
        <w:jc w:val="both"/>
        <w:rPr>
          <w:rFonts w:asciiTheme="majorBidi" w:hAnsiTheme="majorBidi" w:cstheme="majorBidi"/>
        </w:rPr>
      </w:pPr>
      <w:r w:rsidRPr="5417E674">
        <w:rPr>
          <w:rFonts w:asciiTheme="majorBidi" w:hAnsiTheme="majorBidi" w:cstheme="majorBidi"/>
        </w:rPr>
        <w:t xml:space="preserve">Ņemot vērā minēto, </w:t>
      </w:r>
      <w:r w:rsidRPr="5417E674">
        <w:rPr>
          <w:rFonts w:asciiTheme="majorBidi" w:hAnsiTheme="majorBidi" w:cstheme="majorBidi"/>
          <w:b/>
          <w:bCs/>
        </w:rPr>
        <w:t>sākot ar 2024. gada janvāri, ir stingri rekomendēts uzsākt, turpināt vai pabeigt vakcinācijas kursu bērniem vakcinācijas kalendāra ietvaros ar 15-valento vakcīnu “Vaxneuvance”</w:t>
      </w:r>
      <w:r w:rsidRPr="5417E674">
        <w:rPr>
          <w:rFonts w:asciiTheme="majorBidi" w:hAnsiTheme="majorBidi" w:cstheme="majorBidi"/>
        </w:rPr>
        <w:t xml:space="preserve">, kuras sastāvs labāk atbilst cirkulējošiem </w:t>
      </w:r>
      <w:r w:rsidRPr="5417E674">
        <w:rPr>
          <w:rFonts w:asciiTheme="majorBidi" w:hAnsiTheme="majorBidi" w:cstheme="majorBidi"/>
          <w:i/>
          <w:iCs/>
        </w:rPr>
        <w:t>S. pneumonieae</w:t>
      </w:r>
      <w:r w:rsidRPr="5417E674">
        <w:rPr>
          <w:rFonts w:asciiTheme="majorBidi" w:hAnsiTheme="majorBidi" w:cstheme="majorBidi"/>
        </w:rPr>
        <w:t xml:space="preserve"> serotipiem. No medicīnas ētikas viedokļa un epidemioloģiskajiem apsvērumiem nav pieņemami </w:t>
      </w:r>
      <w:r>
        <w:rPr>
          <w:rFonts w:asciiTheme="majorBidi" w:hAnsiTheme="majorBidi" w:cstheme="majorBidi"/>
        </w:rPr>
        <w:t xml:space="preserve">no 2024. gada </w:t>
      </w:r>
      <w:r w:rsidRPr="5417E674">
        <w:rPr>
          <w:rFonts w:asciiTheme="majorBidi" w:hAnsiTheme="majorBidi" w:cstheme="majorBidi"/>
        </w:rPr>
        <w:t>piedāvāt bērn</w:t>
      </w:r>
      <w:r>
        <w:rPr>
          <w:rFonts w:asciiTheme="majorBidi" w:hAnsiTheme="majorBidi" w:cstheme="majorBidi"/>
        </w:rPr>
        <w:t>u vakcinācijai</w:t>
      </w:r>
      <w:r w:rsidRPr="5417E674">
        <w:rPr>
          <w:rFonts w:asciiTheme="majorBidi" w:hAnsiTheme="majorBidi" w:cstheme="majorBidi"/>
        </w:rPr>
        <w:t>10-valento vakcīnu, ja ir pieejama valsts apmaksāt</w:t>
      </w:r>
      <w:r>
        <w:rPr>
          <w:rFonts w:asciiTheme="majorBidi" w:hAnsiTheme="majorBidi" w:cstheme="majorBidi"/>
        </w:rPr>
        <w:t>a</w:t>
      </w:r>
      <w:r w:rsidR="00F076EE">
        <w:rPr>
          <w:rFonts w:asciiTheme="majorBidi" w:hAnsiTheme="majorBidi" w:cstheme="majorBidi"/>
        </w:rPr>
        <w:t xml:space="preserve"> plašākas aizsardzības vakcīna.</w:t>
      </w:r>
    </w:p>
    <w:p w14:paraId="503C4714" w14:textId="77777777" w:rsidR="00D66371" w:rsidRPr="009A3941" w:rsidRDefault="00D66371" w:rsidP="00D66371">
      <w:pPr>
        <w:pStyle w:val="xelementtoproof"/>
        <w:shd w:val="clear" w:color="auto" w:fill="FFFFFF" w:themeFill="background1"/>
        <w:spacing w:before="0" w:beforeAutospacing="0" w:after="0" w:afterAutospacing="0"/>
        <w:ind w:firstLine="720"/>
        <w:jc w:val="both"/>
        <w:rPr>
          <w:rFonts w:asciiTheme="majorBidi" w:hAnsiTheme="majorBidi" w:cstheme="majorBidi"/>
        </w:rPr>
      </w:pPr>
      <w:r w:rsidRPr="5417E674">
        <w:rPr>
          <w:bdr w:val="none" w:sz="0" w:space="0" w:color="auto" w:frame="1"/>
        </w:rPr>
        <w:t xml:space="preserve">Vakcinācijas shēma pret pneimokoku infekciju bērniem nemainās un </w:t>
      </w:r>
      <w:r>
        <w:rPr>
          <w:bdr w:val="none" w:sz="0" w:space="0" w:color="auto" w:frame="1"/>
        </w:rPr>
        <w:t xml:space="preserve">joprojām </w:t>
      </w:r>
      <w:r w:rsidRPr="5417E674">
        <w:rPr>
          <w:bdr w:val="none" w:sz="0" w:space="0" w:color="auto" w:frame="1"/>
        </w:rPr>
        <w:t>sastāv no trim devām. Pirmā deva tiek ievadī</w:t>
      </w:r>
      <w:r w:rsidRPr="5417E674">
        <w:rPr>
          <w:rFonts w:asciiTheme="majorBidi" w:hAnsiTheme="majorBidi" w:cstheme="majorBidi"/>
          <w:bdr w:val="none" w:sz="0" w:space="0" w:color="auto" w:frame="1"/>
        </w:rPr>
        <w:t xml:space="preserve">ta 2 mēnešu vecumā, otrā – 4 mēnešu vecumā un trešā – 12-15 mēnešu vecumā. Ar “Vaxneuvance” vakcīnu var turpināt bērna vakcinācijas kursu, ja tas ir uzsākts ar </w:t>
      </w:r>
      <w:r w:rsidRPr="5417E674">
        <w:rPr>
          <w:rFonts w:asciiTheme="majorBidi" w:hAnsiTheme="majorBidi" w:cstheme="majorBidi"/>
          <w:color w:val="000000" w:themeColor="text1"/>
        </w:rPr>
        <w:t>“Synflorix</w:t>
      </w:r>
      <w:r w:rsidRPr="5417E674">
        <w:rPr>
          <w:rFonts w:asciiTheme="majorBidi" w:hAnsiTheme="majorBidi" w:cstheme="majorBidi"/>
          <w:bdr w:val="none" w:sz="0" w:space="0" w:color="auto" w:frame="1"/>
        </w:rPr>
        <w:t>”</w:t>
      </w:r>
      <w:r>
        <w:rPr>
          <w:rFonts w:asciiTheme="majorBidi" w:hAnsiTheme="majorBidi" w:cstheme="majorBidi"/>
          <w:bdr w:val="none" w:sz="0" w:space="0" w:color="auto" w:frame="1"/>
        </w:rPr>
        <w:t xml:space="preserve"> </w:t>
      </w:r>
      <w:r w:rsidRPr="5417E674">
        <w:rPr>
          <w:rFonts w:asciiTheme="majorBidi" w:hAnsiTheme="majorBidi" w:cstheme="majorBidi"/>
          <w:bdr w:val="none" w:sz="0" w:space="0" w:color="auto" w:frame="1"/>
        </w:rPr>
        <w:t>vakcīnu</w:t>
      </w:r>
      <w:r>
        <w:rPr>
          <w:rFonts w:asciiTheme="majorBidi" w:hAnsiTheme="majorBidi" w:cstheme="majorBidi"/>
          <w:bdr w:val="none" w:sz="0" w:space="0" w:color="auto" w:frame="1"/>
        </w:rPr>
        <w:t xml:space="preserve">. </w:t>
      </w:r>
      <w:r w:rsidRPr="5417E674">
        <w:rPr>
          <w:rFonts w:asciiTheme="majorBidi" w:hAnsiTheme="majorBidi" w:cstheme="majorBidi"/>
        </w:rPr>
        <w:t>Centrs sadarbībā ar Nacionālo veselības dienestu veic nepieciešamos pasākumus, lai vakcīna “Vaxneuvance” tiktu piegādāta ārstniecības iestādēm maksimāli ātri, 2024. gada 2.</w:t>
      </w:r>
      <w:r>
        <w:rPr>
          <w:rFonts w:asciiTheme="majorBidi" w:hAnsiTheme="majorBidi" w:cstheme="majorBidi"/>
        </w:rPr>
        <w:t> </w:t>
      </w:r>
      <w:r w:rsidRPr="5417E674">
        <w:rPr>
          <w:rFonts w:asciiTheme="majorBidi" w:hAnsiTheme="majorBidi" w:cstheme="majorBidi"/>
        </w:rPr>
        <w:t>janvārī stājoties spēkā jaunajam piegāde</w:t>
      </w:r>
      <w:r w:rsidR="00F076EE">
        <w:rPr>
          <w:rFonts w:asciiTheme="majorBidi" w:hAnsiTheme="majorBidi" w:cstheme="majorBidi"/>
        </w:rPr>
        <w:t>s līgumam ar AS “Recipe Plus”.</w:t>
      </w:r>
    </w:p>
    <w:p w14:paraId="337F9D4A" w14:textId="77777777" w:rsidR="00D66371" w:rsidRPr="009A3941" w:rsidRDefault="00D66371" w:rsidP="00D66371">
      <w:pPr>
        <w:pStyle w:val="xelementtoproof"/>
        <w:shd w:val="clear" w:color="auto" w:fill="FFFFFF" w:themeFill="background1"/>
        <w:spacing w:before="0" w:beforeAutospacing="0" w:after="0" w:afterAutospacing="0"/>
        <w:ind w:firstLine="720"/>
        <w:jc w:val="both"/>
        <w:rPr>
          <w:rFonts w:asciiTheme="majorBidi" w:hAnsiTheme="majorBidi" w:cstheme="majorBidi"/>
        </w:rPr>
      </w:pPr>
      <w:r w:rsidRPr="5417E674">
        <w:rPr>
          <w:rFonts w:asciiTheme="majorBidi" w:hAnsiTheme="majorBidi" w:cstheme="majorBidi"/>
        </w:rPr>
        <w:t xml:space="preserve">Lai neveidotu 10-valentās vakcīnas “Synflorix” krājumus vakcinācijas iestādēs, kārtējais decembra vakcīnas “Synflorix” pasūtījums netiks piegādāts decembra beigās, bet gan </w:t>
      </w:r>
      <w:r>
        <w:rPr>
          <w:rFonts w:asciiTheme="majorBidi" w:hAnsiTheme="majorBidi" w:cstheme="majorBidi"/>
        </w:rPr>
        <w:t xml:space="preserve">tiks izpildīts </w:t>
      </w:r>
      <w:r w:rsidRPr="5417E674">
        <w:rPr>
          <w:rFonts w:asciiTheme="majorBidi" w:hAnsiTheme="majorBidi" w:cstheme="majorBidi"/>
        </w:rPr>
        <w:t xml:space="preserve">kā ārpuskārtas vakcīnas “Vaxneuvance” pasūtījums janvāra sākumā (no 02.01.2024.-08.01.2024). </w:t>
      </w:r>
      <w:r>
        <w:rPr>
          <w:rFonts w:asciiTheme="majorBidi" w:hAnsiTheme="majorBidi" w:cstheme="majorBidi"/>
        </w:rPr>
        <w:t>Vienlaikus</w:t>
      </w:r>
      <w:r w:rsidRPr="5417E674">
        <w:rPr>
          <w:rFonts w:asciiTheme="majorBidi" w:hAnsiTheme="majorBidi" w:cstheme="majorBidi"/>
        </w:rPr>
        <w:t xml:space="preserve"> Centrs plāno sazināties ar katru vakcinācijas iestādi, lai precizētu pasūtamo vakcīnas daudzumu, ņemot vērā, ka vakcinācijas iestādēs nav vakcīnas “Vaxneuvance” krājuma, lai turpinātu vakcināciju februārī līdz kārtējā pasūtījuma izpildei. Līdz ar to vakcinācijas iestādes “Vaxneuvance” vakcīnu saņems janvāra sākumā tādā apjomā, </w:t>
      </w:r>
      <w:r w:rsidRPr="5417E674">
        <w:rPr>
          <w:rFonts w:asciiTheme="majorBidi" w:hAnsiTheme="majorBidi" w:cstheme="majorBidi"/>
        </w:rPr>
        <w:lastRenderedPageBreak/>
        <w:t xml:space="preserve">kāds nepieciešams darbam janvārī un februārī un nebūtu nepieciešams veikt kārtējo vakcīnas pret pneimokoku infekciju pasūtījumu janvāra sākumā un atkārtotu piegādi janvārī. </w:t>
      </w:r>
    </w:p>
    <w:p w14:paraId="41C1DD40" w14:textId="77777777" w:rsidR="00D66371" w:rsidRPr="009A3941" w:rsidRDefault="00D66371" w:rsidP="00D66371">
      <w:pPr>
        <w:pStyle w:val="xelementtoproof"/>
        <w:shd w:val="clear" w:color="auto" w:fill="FFFFFF" w:themeFill="background1"/>
        <w:spacing w:before="0" w:beforeAutospacing="0" w:after="0" w:afterAutospacing="0"/>
        <w:ind w:firstLine="720"/>
        <w:jc w:val="both"/>
        <w:rPr>
          <w:rFonts w:asciiTheme="majorBidi" w:hAnsiTheme="majorBidi" w:cstheme="majorBidi"/>
          <w:color w:val="000000" w:themeColor="text1"/>
        </w:rPr>
      </w:pPr>
      <w:r w:rsidRPr="5417E674">
        <w:rPr>
          <w:rFonts w:asciiTheme="majorBidi" w:hAnsiTheme="majorBidi" w:cstheme="majorBidi"/>
        </w:rPr>
        <w:t xml:space="preserve">Ņemot vērā minēto, nākamais kārtējais vakcīnas pret pneimokoku infekciju pasūtījums jānoformē līdz 2024. gada 1.-5. februārim. </w:t>
      </w:r>
    </w:p>
    <w:p w14:paraId="4551B106" w14:textId="77777777" w:rsidR="00D66371" w:rsidRDefault="00D66371" w:rsidP="00D66371">
      <w:pPr>
        <w:pStyle w:val="xelementtoproof"/>
        <w:shd w:val="clear" w:color="auto" w:fill="FFFFFF" w:themeFill="background1"/>
        <w:spacing w:before="0" w:beforeAutospacing="0" w:after="0" w:afterAutospacing="0"/>
        <w:ind w:firstLine="720"/>
        <w:jc w:val="both"/>
        <w:rPr>
          <w:rFonts w:asciiTheme="majorBidi" w:hAnsiTheme="majorBidi" w:cstheme="majorBidi"/>
        </w:rPr>
      </w:pPr>
      <w:r w:rsidRPr="5417E674">
        <w:rPr>
          <w:rFonts w:asciiTheme="majorBidi" w:hAnsiTheme="majorBidi" w:cstheme="majorBidi"/>
        </w:rPr>
        <w:t xml:space="preserve">Ja vakcinācijas iestādē izveidosies vakcīnas pret pneimokoku infekciju iztrūkums, kā vienmēr vakcinācijas iestāde var veikt ārpuskārtas pasūtījumu. </w:t>
      </w:r>
    </w:p>
    <w:p w14:paraId="6A0105AC" w14:textId="77777777" w:rsidR="00D66371" w:rsidRPr="0070293A" w:rsidRDefault="00D66371" w:rsidP="00D66371">
      <w:pPr>
        <w:pStyle w:val="xelementtoproof"/>
        <w:shd w:val="clear" w:color="auto" w:fill="FFFFFF" w:themeFill="background1"/>
        <w:spacing w:before="0" w:beforeAutospacing="0" w:after="0" w:afterAutospacing="0"/>
        <w:ind w:firstLine="720"/>
        <w:jc w:val="both"/>
        <w:rPr>
          <w:rFonts w:asciiTheme="majorBidi" w:hAnsiTheme="majorBidi" w:cstheme="majorBidi"/>
          <w:bdr w:val="none" w:sz="0" w:space="0" w:color="auto" w:frame="1"/>
        </w:rPr>
      </w:pPr>
      <w:r w:rsidRPr="5417E674">
        <w:rPr>
          <w:rFonts w:asciiTheme="majorBidi" w:hAnsiTheme="majorBidi" w:cstheme="majorBidi"/>
          <w:bdr w:val="none" w:sz="0" w:space="0" w:color="auto" w:frame="1"/>
        </w:rPr>
        <w:t>Vakcīnas “Vaxneuvance” zāļu apraksts ir pieejams Zāļu valsts aģentūras tīmekļa vietnē</w:t>
      </w:r>
      <w:r w:rsidRPr="5417E674">
        <w:rPr>
          <w:rStyle w:val="FootnoteReference"/>
          <w:rFonts w:asciiTheme="majorBidi" w:hAnsiTheme="majorBidi" w:cstheme="majorBidi"/>
          <w:bdr w:val="none" w:sz="0" w:space="0" w:color="auto" w:frame="1"/>
        </w:rPr>
        <w:footnoteReference w:id="1"/>
      </w:r>
      <w:r w:rsidRPr="5417E674">
        <w:rPr>
          <w:rFonts w:asciiTheme="majorBidi" w:hAnsiTheme="majorBidi" w:cstheme="majorBidi"/>
          <w:bdr w:val="none" w:sz="0" w:space="0" w:color="auto" w:frame="1"/>
        </w:rPr>
        <w:t>.</w:t>
      </w:r>
    </w:p>
    <w:p w14:paraId="6E46B0D3" w14:textId="74C8DE54" w:rsidR="00A91007" w:rsidRPr="00A91007" w:rsidRDefault="00A91007" w:rsidP="00477923">
      <w:pPr>
        <w:pStyle w:val="BodyB"/>
      </w:pPr>
    </w:p>
    <w:sectPr w:rsidR="00A91007" w:rsidRPr="00A91007" w:rsidSect="008C265B">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D2D14" w14:textId="77777777" w:rsidR="00C145FF" w:rsidRDefault="00C145FF">
      <w:r>
        <w:separator/>
      </w:r>
    </w:p>
  </w:endnote>
  <w:endnote w:type="continuationSeparator" w:id="0">
    <w:p w14:paraId="7283D7A9" w14:textId="77777777" w:rsidR="00C145FF" w:rsidRDefault="00C1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37D7F" w14:textId="77777777" w:rsidR="00F84E4B" w:rsidRDefault="00D66371" w:rsidP="00F84E4B">
    <w:pPr>
      <w:pStyle w:val="Footer"/>
      <w:jc w:val="center"/>
    </w:pPr>
    <w:r w:rsidRPr="001B3C4F">
      <w:t>DOKUMENTS PARAKSTĪTS ELEKTRONISKI AR DROŠU ELEKTRONISKO PARAKSTU</w:t>
    </w:r>
  </w:p>
  <w:p w14:paraId="19B24CB4" w14:textId="77777777" w:rsidR="00CD015F" w:rsidRDefault="00D66371" w:rsidP="00F84E4B">
    <w:pPr>
      <w:pStyle w:val="Footer"/>
      <w:jc w:val="center"/>
    </w:pPr>
    <w:r w:rsidRPr="001B3C4F">
      <w:t xml:space="preserve">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5E2C4" w14:textId="77777777" w:rsidR="00C145FF" w:rsidRDefault="00C145FF">
      <w:r>
        <w:separator/>
      </w:r>
    </w:p>
  </w:footnote>
  <w:footnote w:type="continuationSeparator" w:id="0">
    <w:p w14:paraId="2664275A" w14:textId="77777777" w:rsidR="00C145FF" w:rsidRDefault="00C145FF">
      <w:r>
        <w:continuationSeparator/>
      </w:r>
    </w:p>
  </w:footnote>
  <w:footnote w:id="1">
    <w:p w14:paraId="71253725" w14:textId="77777777" w:rsidR="00D66371" w:rsidRDefault="00D66371" w:rsidP="00D66371">
      <w:pPr>
        <w:pStyle w:val="FootnoteText"/>
      </w:pPr>
      <w:r w:rsidRPr="0059126A">
        <w:rPr>
          <w:rStyle w:val="FootnoteReference"/>
          <w:rFonts w:ascii="Times New Roman" w:hAnsi="Times New Roman" w:cs="Times New Roman"/>
          <w:sz w:val="16"/>
          <w:szCs w:val="16"/>
        </w:rPr>
        <w:footnoteRef/>
      </w:r>
      <w:r w:rsidRPr="0059126A">
        <w:rPr>
          <w:rFonts w:ascii="Times New Roman" w:hAnsi="Times New Roman" w:cs="Times New Roman"/>
          <w:sz w:val="16"/>
          <w:szCs w:val="16"/>
        </w:rPr>
        <w:t xml:space="preserve"> </w:t>
      </w:r>
      <w:hyperlink r:id="rId1" w:history="1">
        <w:r w:rsidRPr="0091193C">
          <w:rPr>
            <w:rStyle w:val="Hyperlink"/>
            <w:rFonts w:ascii="Times New Roman" w:hAnsi="Times New Roman" w:cs="Times New Roman"/>
            <w:sz w:val="16"/>
            <w:szCs w:val="16"/>
          </w:rPr>
          <w:t>https://dati.zva.gov.lv/zalu-registrs/info/EU/1/21/1591/003?r=aHR0cHM6Ly9kYXRpLnp2YS5nb3YubHYvemFsdS1yZWdpc3Rycy8%2FaXNzPTEmYW1wO3E9VmF4bmV1dmFuY2UmYW1wO0lLLTE9MSZhbXA7SUstMj0yJmFtcDtOQUM9b24mYW1wO1NBVD1vbiZhbXA7REVDPW9uJmFtcDtFU0M9b24mYW1wO0VTST1vbiZhbXA7UElNPW9uJmFtcDtSTkU9b24%3D</w:t>
        </w:r>
      </w:hyperlink>
      <w:r>
        <w:rPr>
          <w:rFonts w:ascii="Times New Roman" w:hAnsi="Times New Roman" w:cs="Times New Roman"/>
          <w:i/>
          <w:iCs/>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76723"/>
    <w:multiLevelType w:val="hybridMultilevel"/>
    <w:tmpl w:val="75C4787A"/>
    <w:lvl w:ilvl="0" w:tplc="3858FA20">
      <w:start w:val="1"/>
      <w:numFmt w:val="decimal"/>
      <w:lvlText w:val="%1."/>
      <w:lvlJc w:val="left"/>
      <w:pPr>
        <w:ind w:left="720" w:hanging="360"/>
      </w:pPr>
      <w:rPr>
        <w:rFonts w:hint="default"/>
      </w:rPr>
    </w:lvl>
    <w:lvl w:ilvl="1" w:tplc="2E0A9A28">
      <w:start w:val="1"/>
      <w:numFmt w:val="lowerLetter"/>
      <w:lvlText w:val="%2."/>
      <w:lvlJc w:val="left"/>
      <w:pPr>
        <w:ind w:left="1440" w:hanging="360"/>
      </w:pPr>
    </w:lvl>
    <w:lvl w:ilvl="2" w:tplc="94EC92B8" w:tentative="1">
      <w:start w:val="1"/>
      <w:numFmt w:val="lowerRoman"/>
      <w:lvlText w:val="%3."/>
      <w:lvlJc w:val="right"/>
      <w:pPr>
        <w:ind w:left="2160" w:hanging="180"/>
      </w:pPr>
    </w:lvl>
    <w:lvl w:ilvl="3" w:tplc="48E25996" w:tentative="1">
      <w:start w:val="1"/>
      <w:numFmt w:val="decimal"/>
      <w:lvlText w:val="%4."/>
      <w:lvlJc w:val="left"/>
      <w:pPr>
        <w:ind w:left="2880" w:hanging="360"/>
      </w:pPr>
    </w:lvl>
    <w:lvl w:ilvl="4" w:tplc="61C42476" w:tentative="1">
      <w:start w:val="1"/>
      <w:numFmt w:val="lowerLetter"/>
      <w:lvlText w:val="%5."/>
      <w:lvlJc w:val="left"/>
      <w:pPr>
        <w:ind w:left="3600" w:hanging="360"/>
      </w:pPr>
    </w:lvl>
    <w:lvl w:ilvl="5" w:tplc="4D1EF346" w:tentative="1">
      <w:start w:val="1"/>
      <w:numFmt w:val="lowerRoman"/>
      <w:lvlText w:val="%6."/>
      <w:lvlJc w:val="right"/>
      <w:pPr>
        <w:ind w:left="4320" w:hanging="180"/>
      </w:pPr>
    </w:lvl>
    <w:lvl w:ilvl="6" w:tplc="7F8C8B34" w:tentative="1">
      <w:start w:val="1"/>
      <w:numFmt w:val="decimal"/>
      <w:lvlText w:val="%7."/>
      <w:lvlJc w:val="left"/>
      <w:pPr>
        <w:ind w:left="5040" w:hanging="360"/>
      </w:pPr>
    </w:lvl>
    <w:lvl w:ilvl="7" w:tplc="B5A61BE8" w:tentative="1">
      <w:start w:val="1"/>
      <w:numFmt w:val="lowerLetter"/>
      <w:lvlText w:val="%8."/>
      <w:lvlJc w:val="left"/>
      <w:pPr>
        <w:ind w:left="5760" w:hanging="360"/>
      </w:pPr>
    </w:lvl>
    <w:lvl w:ilvl="8" w:tplc="F46A4BE6" w:tentative="1">
      <w:start w:val="1"/>
      <w:numFmt w:val="lowerRoman"/>
      <w:lvlText w:val="%9."/>
      <w:lvlJc w:val="right"/>
      <w:pPr>
        <w:ind w:left="6480" w:hanging="180"/>
      </w:pPr>
    </w:lvl>
  </w:abstractNum>
  <w:abstractNum w:abstractNumId="1" w15:restartNumberingAfterBreak="0">
    <w:nsid w:val="78FE6A46"/>
    <w:multiLevelType w:val="multilevel"/>
    <w:tmpl w:val="8C2AC70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943493323">
    <w:abstractNumId w:val="0"/>
  </w:num>
  <w:num w:numId="2" w16cid:durableId="909272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2ACC"/>
    <w:rsid w:val="00020179"/>
    <w:rsid w:val="000D65D1"/>
    <w:rsid w:val="00112C48"/>
    <w:rsid w:val="00154B6E"/>
    <w:rsid w:val="00195A3A"/>
    <w:rsid w:val="001963C5"/>
    <w:rsid w:val="001B3C4F"/>
    <w:rsid w:val="001F3DE1"/>
    <w:rsid w:val="002079F2"/>
    <w:rsid w:val="00222B8B"/>
    <w:rsid w:val="00237C47"/>
    <w:rsid w:val="00247E9C"/>
    <w:rsid w:val="00275668"/>
    <w:rsid w:val="00280BAC"/>
    <w:rsid w:val="00376EF5"/>
    <w:rsid w:val="003A5E2C"/>
    <w:rsid w:val="003E7BBE"/>
    <w:rsid w:val="003F2940"/>
    <w:rsid w:val="003F6412"/>
    <w:rsid w:val="00415D28"/>
    <w:rsid w:val="00443D6E"/>
    <w:rsid w:val="004568DF"/>
    <w:rsid w:val="00456D43"/>
    <w:rsid w:val="00477923"/>
    <w:rsid w:val="00480BD0"/>
    <w:rsid w:val="004A063D"/>
    <w:rsid w:val="00505CA0"/>
    <w:rsid w:val="005249D9"/>
    <w:rsid w:val="0055269A"/>
    <w:rsid w:val="005603D1"/>
    <w:rsid w:val="00587CC8"/>
    <w:rsid w:val="005D3E87"/>
    <w:rsid w:val="006765DF"/>
    <w:rsid w:val="006D3FD6"/>
    <w:rsid w:val="007322A6"/>
    <w:rsid w:val="007906BB"/>
    <w:rsid w:val="00893003"/>
    <w:rsid w:val="008A32D0"/>
    <w:rsid w:val="008B15BC"/>
    <w:rsid w:val="008B6D06"/>
    <w:rsid w:val="008B742D"/>
    <w:rsid w:val="008C265B"/>
    <w:rsid w:val="00987215"/>
    <w:rsid w:val="00994AA3"/>
    <w:rsid w:val="009E26F3"/>
    <w:rsid w:val="00A23AAC"/>
    <w:rsid w:val="00A24A6B"/>
    <w:rsid w:val="00A277B8"/>
    <w:rsid w:val="00A91007"/>
    <w:rsid w:val="00B16961"/>
    <w:rsid w:val="00B86B76"/>
    <w:rsid w:val="00BE7124"/>
    <w:rsid w:val="00BF3D96"/>
    <w:rsid w:val="00C12D6E"/>
    <w:rsid w:val="00C145FF"/>
    <w:rsid w:val="00C4438A"/>
    <w:rsid w:val="00C92245"/>
    <w:rsid w:val="00CA27BF"/>
    <w:rsid w:val="00CB2202"/>
    <w:rsid w:val="00CB77F0"/>
    <w:rsid w:val="00CC1A82"/>
    <w:rsid w:val="00CC4F90"/>
    <w:rsid w:val="00CD015F"/>
    <w:rsid w:val="00D5053F"/>
    <w:rsid w:val="00D66371"/>
    <w:rsid w:val="00D831E1"/>
    <w:rsid w:val="00D92D62"/>
    <w:rsid w:val="00DC0153"/>
    <w:rsid w:val="00DC1881"/>
    <w:rsid w:val="00DE33E0"/>
    <w:rsid w:val="00E029CF"/>
    <w:rsid w:val="00E10BEB"/>
    <w:rsid w:val="00E33119"/>
    <w:rsid w:val="00E402D8"/>
    <w:rsid w:val="00E46716"/>
    <w:rsid w:val="00E46A48"/>
    <w:rsid w:val="00E55896"/>
    <w:rsid w:val="00E92ACC"/>
    <w:rsid w:val="00EC6B3B"/>
    <w:rsid w:val="00EE4551"/>
    <w:rsid w:val="00EE7EE5"/>
    <w:rsid w:val="00F076EE"/>
    <w:rsid w:val="00F84E4B"/>
    <w:rsid w:val="00FB54D0"/>
    <w:rsid w:val="00FE4CB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C7DF4"/>
  <w15:docId w15:val="{0C5DEEF9-898E-418C-92DF-2EA4E387F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A6B"/>
    <w:rPr>
      <w:rFonts w:eastAsia="Times New Roman"/>
      <w:lang w:eastAsia="en-US"/>
    </w:rPr>
  </w:style>
  <w:style w:type="paragraph" w:styleId="Heading1">
    <w:name w:val="heading 1"/>
    <w:basedOn w:val="Normal"/>
    <w:next w:val="Normal"/>
    <w:link w:val="Heading1Char"/>
    <w:uiPriority w:val="9"/>
    <w:qFormat/>
    <w:rsid w:val="00994AA3"/>
    <w:pPr>
      <w:keepNext/>
      <w:jc w:val="center"/>
      <w:outlineLvl w:val="0"/>
    </w:pPr>
    <w:rPr>
      <w:b/>
      <w:bCs/>
    </w:rPr>
  </w:style>
  <w:style w:type="paragraph" w:styleId="Heading2">
    <w:name w:val="heading 2"/>
    <w:basedOn w:val="Normal"/>
    <w:next w:val="Normal"/>
    <w:link w:val="Heading2Char"/>
    <w:qFormat/>
    <w:rsid w:val="00994AA3"/>
    <w:pPr>
      <w:keepNext/>
      <w:tabs>
        <w:tab w:val="num" w:pos="495"/>
      </w:tabs>
      <w:ind w:left="495" w:hanging="495"/>
      <w:outlineLvl w:val="1"/>
    </w:pPr>
    <w:rPr>
      <w:b/>
    </w:rPr>
  </w:style>
  <w:style w:type="paragraph" w:styleId="Heading3">
    <w:name w:val="heading 3"/>
    <w:basedOn w:val="Normal"/>
    <w:next w:val="Normal"/>
    <w:link w:val="Heading3Char"/>
    <w:qFormat/>
    <w:rsid w:val="00994AA3"/>
    <w:pPr>
      <w:keepNext/>
      <w:outlineLvl w:val="2"/>
    </w:pPr>
    <w:rPr>
      <w:b/>
      <w:color w:val="FF0000"/>
      <w:sz w:val="44"/>
    </w:rPr>
  </w:style>
  <w:style w:type="paragraph" w:styleId="Heading4">
    <w:name w:val="heading 4"/>
    <w:basedOn w:val="Normal"/>
    <w:link w:val="Heading4Char"/>
    <w:uiPriority w:val="9"/>
    <w:qFormat/>
    <w:rsid w:val="00994AA3"/>
    <w:pPr>
      <w:spacing w:before="100" w:beforeAutospacing="1" w:after="100" w:afterAutospacing="1"/>
      <w:outlineLvl w:val="3"/>
    </w:pPr>
    <w:rPr>
      <w:b/>
      <w:bCs/>
    </w:rPr>
  </w:style>
  <w:style w:type="paragraph" w:styleId="Heading5">
    <w:name w:val="heading 5"/>
    <w:basedOn w:val="Normal"/>
    <w:next w:val="Normal"/>
    <w:link w:val="Heading5Char"/>
    <w:uiPriority w:val="9"/>
    <w:qFormat/>
    <w:rsid w:val="00994AA3"/>
    <w:pPr>
      <w:spacing w:before="240" w:after="60"/>
      <w:outlineLvl w:val="4"/>
    </w:pPr>
    <w:rPr>
      <w:rFonts w:ascii="Calibri" w:hAnsi="Calibri"/>
      <w:b/>
      <w:bCs/>
      <w:i/>
      <w:iCs/>
      <w:sz w:val="26"/>
      <w:szCs w:val="26"/>
      <w:lang w:val="en-A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94AA3"/>
    <w:rPr>
      <w:b/>
      <w:bCs/>
      <w:sz w:val="24"/>
      <w:szCs w:val="24"/>
    </w:rPr>
  </w:style>
  <w:style w:type="character" w:customStyle="1" w:styleId="Heading2Char">
    <w:name w:val="Heading 2 Char"/>
    <w:link w:val="Heading2"/>
    <w:rsid w:val="00994AA3"/>
    <w:rPr>
      <w:b/>
      <w:sz w:val="24"/>
    </w:rPr>
  </w:style>
  <w:style w:type="character" w:customStyle="1" w:styleId="Heading3Char">
    <w:name w:val="Heading 3 Char"/>
    <w:link w:val="Heading3"/>
    <w:rsid w:val="00994AA3"/>
    <w:rPr>
      <w:b/>
      <w:color w:val="FF0000"/>
      <w:sz w:val="44"/>
    </w:rPr>
  </w:style>
  <w:style w:type="character" w:customStyle="1" w:styleId="Heading4Char">
    <w:name w:val="Heading 4 Char"/>
    <w:link w:val="Heading4"/>
    <w:uiPriority w:val="9"/>
    <w:rsid w:val="00994AA3"/>
    <w:rPr>
      <w:b/>
      <w:bCs/>
      <w:sz w:val="24"/>
      <w:szCs w:val="24"/>
    </w:rPr>
  </w:style>
  <w:style w:type="character" w:customStyle="1" w:styleId="Heading5Char">
    <w:name w:val="Heading 5 Char"/>
    <w:link w:val="Heading5"/>
    <w:uiPriority w:val="9"/>
    <w:rsid w:val="00994AA3"/>
    <w:rPr>
      <w:rFonts w:ascii="Calibri" w:hAnsi="Calibri"/>
      <w:b/>
      <w:bCs/>
      <w:i/>
      <w:iCs/>
      <w:sz w:val="26"/>
      <w:szCs w:val="26"/>
      <w:lang w:val="en-AU" w:eastAsia="x-none"/>
    </w:rPr>
  </w:style>
  <w:style w:type="paragraph" w:styleId="NoSpacing">
    <w:name w:val="No Spacing"/>
    <w:uiPriority w:val="1"/>
    <w:qFormat/>
    <w:rsid w:val="00994AA3"/>
    <w:rPr>
      <w:rFonts w:ascii="Calibri" w:hAnsi="Calibri"/>
      <w:sz w:val="22"/>
      <w:szCs w:val="22"/>
      <w:lang w:eastAsia="en-US"/>
    </w:rPr>
  </w:style>
  <w:style w:type="paragraph" w:styleId="ListParagraph">
    <w:name w:val="List Paragraph"/>
    <w:basedOn w:val="Normal"/>
    <w:uiPriority w:val="34"/>
    <w:qFormat/>
    <w:rsid w:val="00994AA3"/>
    <w:pPr>
      <w:spacing w:after="200" w:line="276" w:lineRule="auto"/>
      <w:ind w:left="720"/>
      <w:contextualSpacing/>
    </w:pPr>
    <w:rPr>
      <w:rFonts w:ascii="Calibri" w:hAnsi="Calibri"/>
      <w:sz w:val="22"/>
      <w:szCs w:val="22"/>
    </w:rPr>
  </w:style>
  <w:style w:type="paragraph" w:styleId="Quote">
    <w:name w:val="Quote"/>
    <w:basedOn w:val="Normal"/>
    <w:next w:val="Normal"/>
    <w:link w:val="QuoteChar"/>
    <w:uiPriority w:val="29"/>
    <w:qFormat/>
    <w:rsid w:val="00994AA3"/>
    <w:rPr>
      <w:i/>
      <w:sz w:val="28"/>
      <w:szCs w:val="28"/>
    </w:rPr>
  </w:style>
  <w:style w:type="character" w:customStyle="1" w:styleId="QuoteChar">
    <w:name w:val="Quote Char"/>
    <w:link w:val="Quote"/>
    <w:uiPriority w:val="29"/>
    <w:rsid w:val="00994AA3"/>
    <w:rPr>
      <w:i/>
      <w:sz w:val="28"/>
      <w:szCs w:val="28"/>
    </w:rPr>
  </w:style>
  <w:style w:type="paragraph" w:styleId="Header">
    <w:name w:val="header"/>
    <w:basedOn w:val="Normal"/>
    <w:link w:val="HeaderChar"/>
    <w:rsid w:val="00A24A6B"/>
    <w:pPr>
      <w:tabs>
        <w:tab w:val="center" w:pos="4320"/>
        <w:tab w:val="right" w:pos="8640"/>
      </w:tabs>
    </w:pPr>
    <w:rPr>
      <w:rFonts w:ascii="Arial" w:hAnsi="Arial"/>
      <w:sz w:val="24"/>
    </w:rPr>
  </w:style>
  <w:style w:type="character" w:customStyle="1" w:styleId="HeaderChar">
    <w:name w:val="Header Char"/>
    <w:link w:val="Header"/>
    <w:rsid w:val="00A24A6B"/>
    <w:rPr>
      <w:rFonts w:ascii="Arial" w:eastAsia="Times New Roman" w:hAnsi="Arial"/>
      <w:sz w:val="24"/>
      <w:lang w:eastAsia="en-US"/>
    </w:rPr>
  </w:style>
  <w:style w:type="table" w:styleId="TableGrid">
    <w:name w:val="Table Grid"/>
    <w:basedOn w:val="TableNormal"/>
    <w:uiPriority w:val="59"/>
    <w:rsid w:val="00A91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D015F"/>
    <w:pPr>
      <w:tabs>
        <w:tab w:val="center" w:pos="4153"/>
        <w:tab w:val="right" w:pos="8306"/>
      </w:tabs>
    </w:pPr>
  </w:style>
  <w:style w:type="character" w:customStyle="1" w:styleId="FooterChar">
    <w:name w:val="Footer Char"/>
    <w:link w:val="Footer"/>
    <w:uiPriority w:val="99"/>
    <w:rsid w:val="00CD015F"/>
    <w:rPr>
      <w:rFonts w:eastAsia="Times New Roman"/>
      <w:lang w:eastAsia="en-US"/>
    </w:rPr>
  </w:style>
  <w:style w:type="paragraph" w:customStyle="1" w:styleId="BodyB">
    <w:name w:val="Body B"/>
    <w:rsid w:val="002079F2"/>
    <w:pPr>
      <w:pBdr>
        <w:top w:val="nil"/>
        <w:left w:val="nil"/>
        <w:bottom w:val="nil"/>
        <w:right w:val="nil"/>
        <w:between w:val="nil"/>
        <w:bar w:val="nil"/>
      </w:pBdr>
    </w:pPr>
    <w:rPr>
      <w:rFonts w:eastAsia="Arial Unicode MS" w:cs="Arial Unicode MS"/>
      <w:color w:val="000000"/>
      <w:sz w:val="24"/>
      <w:szCs w:val="24"/>
      <w:u w:color="000000"/>
      <w:bdr w:val="nil"/>
    </w:rPr>
  </w:style>
  <w:style w:type="paragraph" w:customStyle="1" w:styleId="xelementtoproof">
    <w:name w:val="x_elementtoproof"/>
    <w:basedOn w:val="Normal"/>
    <w:rsid w:val="00D66371"/>
    <w:pPr>
      <w:spacing w:before="100" w:beforeAutospacing="1" w:after="100" w:afterAutospacing="1"/>
    </w:pPr>
    <w:rPr>
      <w:sz w:val="24"/>
      <w:szCs w:val="24"/>
      <w:lang w:eastAsia="lv-LV"/>
    </w:rPr>
  </w:style>
  <w:style w:type="character" w:styleId="Hyperlink">
    <w:name w:val="Hyperlink"/>
    <w:basedOn w:val="DefaultParagraphFont"/>
    <w:uiPriority w:val="99"/>
    <w:unhideWhenUsed/>
    <w:rsid w:val="00D66371"/>
    <w:rPr>
      <w:color w:val="0563C1" w:themeColor="hyperlink"/>
      <w:u w:val="single"/>
    </w:rPr>
  </w:style>
  <w:style w:type="paragraph" w:styleId="FootnoteText">
    <w:name w:val="footnote text"/>
    <w:basedOn w:val="Normal"/>
    <w:link w:val="FootnoteTextChar"/>
    <w:uiPriority w:val="99"/>
    <w:semiHidden/>
    <w:unhideWhenUsed/>
    <w:rsid w:val="00D66371"/>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D66371"/>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D663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ati.zva.gov.lv/zalu-registrs/info/EU/1/21/1591/003?r=aHR0cHM6Ly9kYXRpLnp2YS5nb3YubHYvemFsdS1yZWdpc3Rycy8%2FaXNzPTEmYW1wO3E9VmF4bmV1dmFuY2UmYW1wO0lLLTE9MSZhbXA7SUstMj0yJmFtcDtOQUM9b24mYW1wO1NBVD1vbiZhbXA7REVDPW9uJmFtcDtFU0M9b24mYW1wO0VTST1vbiZhbXA7UElNPW9uJmFtcDtSTkU9b24%3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ga.purenina\Desktop\SPKC\4_vestule_elektroniskais_paraksts_valsts_valoda_pilnkrasu.dotx"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4_vestule_elektroniskais_paraksts_valsts_valoda_pilnkrasu</Template>
  <TotalTime>7</TotalTime>
  <Pages>1</Pages>
  <Words>2233</Words>
  <Characters>1274</Characters>
  <Application>Microsoft Office Word</Application>
  <DocSecurity>0</DocSecurity>
  <Lines>10</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Pavlovica</dc:creator>
  <cp:lastModifiedBy>Linda Krauze</cp:lastModifiedBy>
  <cp:revision>7</cp:revision>
  <cp:lastPrinted>2016-02-15T06:53:00Z</cp:lastPrinted>
  <dcterms:created xsi:type="dcterms:W3CDTF">2020-02-27T07:31:00Z</dcterms:created>
  <dcterms:modified xsi:type="dcterms:W3CDTF">2023-12-15T10:16:00Z</dcterms:modified>
</cp:coreProperties>
</file>