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4842" w14:textId="77777777" w:rsidR="00A24A6B" w:rsidRPr="00D5053F" w:rsidRDefault="00E81AC2" w:rsidP="003E7BBE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73B2DCF5" wp14:editId="2FD3A0CF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4CCFE23" wp14:editId="273E75DC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14:paraId="3ADEE25F" w14:textId="77777777" w:rsidR="00E46A48" w:rsidRDefault="00E81AC2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p w14:paraId="546D5FE6" w14:textId="77777777" w:rsidR="0076542E" w:rsidRDefault="0076542E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</w:p>
    <w:p w14:paraId="46CA124E" w14:textId="25EC681A" w:rsidR="0076542E" w:rsidRPr="0076542E" w:rsidRDefault="00E81AC2" w:rsidP="0076542E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iedzīvotāju grupu paplašināšanu vakcinācijai pret gripu</w:t>
      </w:r>
    </w:p>
    <w:p w14:paraId="1DC5AF09" w14:textId="7E434A3A" w:rsidR="00E81AC2" w:rsidRPr="00EC5285" w:rsidRDefault="00E81AC2" w:rsidP="00E81AC2">
      <w:pPr>
        <w:shd w:val="clear" w:color="auto" w:fill="FFFFFF" w:themeFill="background1"/>
        <w:ind w:firstLine="720"/>
        <w:jc w:val="both"/>
        <w:textAlignment w:val="baseline"/>
        <w:rPr>
          <w:rFonts w:asciiTheme="majorBidi" w:hAnsiTheme="majorBidi" w:cstheme="majorBidi"/>
          <w:color w:val="242424"/>
          <w:sz w:val="24"/>
          <w:szCs w:val="24"/>
          <w:bdr w:val="none" w:sz="0" w:space="0" w:color="auto" w:frame="1"/>
          <w:lang w:eastAsia="lv-LV"/>
        </w:rPr>
      </w:pPr>
      <w:r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>Slimību profilakses un kontroles centrs (turpmāk – Centrs) informē, ka </w:t>
      </w:r>
      <w:r w:rsidRPr="00C613FC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 xml:space="preserve">ar </w:t>
      </w:r>
      <w:r w:rsidRPr="00C613FC">
        <w:rPr>
          <w:rFonts w:asciiTheme="majorBidi" w:hAnsiTheme="majorBidi" w:cstheme="majorBidi"/>
          <w:color w:val="000000"/>
          <w:sz w:val="24"/>
          <w:szCs w:val="24"/>
          <w:u w:val="single"/>
          <w:bdr w:val="none" w:sz="0" w:space="0" w:color="auto" w:frame="1"/>
          <w:lang w:eastAsia="lv-LV"/>
        </w:rPr>
        <w:t xml:space="preserve">2024. gada 2. janvāri </w:t>
      </w:r>
      <w:r w:rsidRPr="00C613FC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 xml:space="preserve">vakcinācijas iestādēm ir atļauts paplašināt pret gripu vakcinējamo iedzīvotāju grupas un ar valsts apmaksātu pretgripas vakcīnu vakcinēt </w:t>
      </w:r>
      <w:r w:rsidRPr="00C613FC">
        <w:rPr>
          <w:rFonts w:asciiTheme="majorBidi" w:hAnsiTheme="majorBidi" w:cstheme="majorBidi"/>
          <w:color w:val="000000"/>
          <w:sz w:val="24"/>
          <w:szCs w:val="24"/>
          <w:u w:val="single"/>
          <w:bdr w:val="none" w:sz="0" w:space="0" w:color="auto" w:frame="1"/>
          <w:lang w:eastAsia="lv-LV"/>
        </w:rPr>
        <w:t>visus iedzīvotājus, ievērojot vakcīnu lietošanās instrukcijās noteikto pacientu vecumu</w:t>
      </w:r>
      <w:r w:rsidRPr="00C613FC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>.</w:t>
      </w:r>
      <w:r w:rsidRPr="5B3C03E0">
        <w:rPr>
          <w:rFonts w:asciiTheme="majorBidi" w:hAnsiTheme="majorBidi" w:cstheme="majorBidi"/>
          <w:color w:val="242424"/>
          <w:sz w:val="24"/>
          <w:szCs w:val="24"/>
          <w:bdr w:val="none" w:sz="0" w:space="0" w:color="auto" w:frame="1"/>
          <w:lang w:eastAsia="lv-LV"/>
        </w:rPr>
        <w:t xml:space="preserve"> Grupu paplašināšana </w:t>
      </w:r>
      <w:r w:rsidRPr="6B9ECDBB">
        <w:rPr>
          <w:rFonts w:asciiTheme="majorBidi" w:hAnsiTheme="majorBidi" w:cstheme="majorBidi"/>
          <w:color w:val="242424"/>
          <w:sz w:val="24"/>
          <w:szCs w:val="24"/>
          <w:bdr w:val="none" w:sz="0" w:space="0" w:color="auto" w:frame="1"/>
          <w:lang w:eastAsia="lv-LV"/>
        </w:rPr>
        <w:t xml:space="preserve">var notikt </w:t>
      </w:r>
      <w:r w:rsidRPr="5B3C03E0">
        <w:rPr>
          <w:rFonts w:asciiTheme="majorBidi" w:hAnsiTheme="majorBidi" w:cstheme="majorBidi"/>
          <w:color w:val="242424"/>
          <w:sz w:val="24"/>
          <w:szCs w:val="24"/>
          <w:bdr w:val="none" w:sz="0" w:space="0" w:color="auto" w:frame="1"/>
          <w:lang w:eastAsia="lv-LV"/>
        </w:rPr>
        <w:t>vakcinācijas iestādes rīcībā esošā valsts apmaksātas pretgripas vakcīnas daudzuma ietvaros </w:t>
      </w:r>
      <w:r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>un līdz ar to ir atkarīga no vakcīnas pieejamības katrā iestādē.</w:t>
      </w:r>
      <w:r w:rsidRPr="5B3C03E0">
        <w:rPr>
          <w:rFonts w:asciiTheme="majorBidi" w:hAnsiTheme="majorBidi" w:cstheme="majorBidi"/>
          <w:color w:val="242424"/>
          <w:sz w:val="24"/>
          <w:szCs w:val="24"/>
          <w:bdr w:val="none" w:sz="0" w:space="0" w:color="auto" w:frame="1"/>
          <w:lang w:eastAsia="lv-LV"/>
        </w:rPr>
        <w:t> </w:t>
      </w:r>
    </w:p>
    <w:p w14:paraId="43D8B4E0" w14:textId="77777777" w:rsidR="00E81AC2" w:rsidRPr="00EC5285" w:rsidRDefault="00E81AC2" w:rsidP="00E81AC2">
      <w:pPr>
        <w:shd w:val="clear" w:color="auto" w:fill="FFFFFF" w:themeFill="background1"/>
        <w:jc w:val="both"/>
        <w:textAlignment w:val="baseline"/>
        <w:rPr>
          <w:rFonts w:asciiTheme="majorBidi" w:hAnsiTheme="majorBidi" w:cstheme="majorBidi"/>
          <w:color w:val="242424"/>
          <w:sz w:val="24"/>
          <w:szCs w:val="24"/>
          <w:bdr w:val="none" w:sz="0" w:space="0" w:color="auto" w:frame="1"/>
          <w:lang w:eastAsia="lv-LV"/>
        </w:rPr>
      </w:pPr>
      <w:r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>            Informējam, ka joprojām prioritāri ir vakcinējamas veselības riska grupas personas, kuras ir minētas Ministru kabineta 2000. gada 26. septembra noteikumu Nr. 330 “Vakcinācijas noteikumi” 44.</w:t>
      </w:r>
      <w:r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vertAlign w:val="superscript"/>
          <w:lang w:eastAsia="lv-LV"/>
        </w:rPr>
        <w:t>1</w:t>
      </w:r>
      <w:r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> punktā</w:t>
      </w:r>
      <w:r w:rsidR="00C613FC">
        <w:rPr>
          <w:rStyle w:val="FootnoteReference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footnoteReference w:id="1"/>
      </w:r>
      <w:r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>. </w:t>
      </w:r>
    </w:p>
    <w:p w14:paraId="6B9FCF96" w14:textId="77777777" w:rsidR="00E81AC2" w:rsidRPr="00EA6C7A" w:rsidRDefault="00E81AC2" w:rsidP="00E81AC2">
      <w:pPr>
        <w:shd w:val="clear" w:color="auto" w:fill="FFFFFF" w:themeFill="background1"/>
        <w:ind w:firstLine="720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</w:pPr>
      <w:r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>Centrs vērš</w:t>
      </w:r>
      <w:r w:rsidR="00C613FC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 xml:space="preserve"> </w:t>
      </w:r>
      <w:r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 xml:space="preserve">uzmanību, ka viss valsts apmaksātais pretgripas vakcīnas daudzums ir sadalīts vakcinācijas iestādēm, tāpēc vairs nav iespējams </w:t>
      </w:r>
      <w:r w:rsidRPr="5B3C03E0">
        <w:rPr>
          <w:rFonts w:asciiTheme="majorBidi" w:hAnsiTheme="majorBidi" w:cstheme="majorBidi"/>
          <w:color w:val="000000" w:themeColor="text1"/>
          <w:sz w:val="24"/>
          <w:szCs w:val="24"/>
          <w:lang w:eastAsia="lv-LV"/>
        </w:rPr>
        <w:t>papildus iz</w:t>
      </w:r>
      <w:r w:rsidRPr="6B9ECDBB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 xml:space="preserve">pildīt </w:t>
      </w:r>
      <w:r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 xml:space="preserve">pretgripas vakcīnas pasūtījumus, izņemot </w:t>
      </w:r>
      <w:r w:rsidR="00C613FC"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“FluenzTetra” </w:t>
      </w:r>
      <w:r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  <w:t>intranazālo vakcīnu, kura vēl ir pieejama pasūtīšanai.</w:t>
      </w:r>
    </w:p>
    <w:p w14:paraId="6CEBA201" w14:textId="77777777" w:rsidR="00E81AC2" w:rsidRPr="00EA6C7A" w:rsidRDefault="00C613FC" w:rsidP="00E81AC2">
      <w:pPr>
        <w:shd w:val="clear" w:color="auto" w:fill="FFFFFF" w:themeFill="background1"/>
        <w:ind w:firstLine="720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lv-LV"/>
        </w:rPr>
      </w:pP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Atgādinām, ka</w:t>
      </w:r>
      <w:r w:rsidR="00E81AC2"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“FluenzTetra” vakcīnas sērijas TJ3641 derīguma termiņ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š ir</w:t>
      </w:r>
      <w:r w:rsidR="00E81AC2"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līdz </w:t>
      </w:r>
      <w:r w:rsidR="00E81AC2" w:rsidRPr="5B3C03E0">
        <w:rPr>
          <w:rFonts w:asciiTheme="majorBidi" w:hAnsiTheme="majorBidi" w:cstheme="majorBidi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16.01.2024.</w:t>
      </w:r>
      <w:r w:rsidR="00E81AC2" w:rsidRPr="00C613FC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“</w:t>
      </w:r>
      <w:r w:rsidR="00E81AC2"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FluenzTetra” ir dzīva vakcīna, kura ir jau sagatavota lietošanai, līdz ar to, saskaņā ar zāļu aprakstu</w:t>
      </w:r>
      <w:r>
        <w:rPr>
          <w:rStyle w:val="FootnoteReference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footnoteReference w:id="2"/>
      </w:r>
      <w:r w:rsidR="00E81AC2" w:rsidRPr="5B3C03E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, tās derīguma termiņš ir 18 nedēļas (īsāk, ka citām pretgripas vakcīnām).</w:t>
      </w:r>
    </w:p>
    <w:p w14:paraId="26B2EB96" w14:textId="77777777" w:rsidR="00E81AC2" w:rsidRPr="00C613FC" w:rsidRDefault="00E81AC2" w:rsidP="00C613FC">
      <w:pPr>
        <w:shd w:val="clear" w:color="auto" w:fill="FFFFFF" w:themeFill="background1"/>
        <w:ind w:firstLine="720"/>
        <w:textAlignment w:val="baseline"/>
        <w:rPr>
          <w:rFonts w:asciiTheme="majorBidi" w:hAnsiTheme="majorBidi" w:cstheme="majorBidi"/>
          <w:color w:val="242424"/>
          <w:sz w:val="24"/>
          <w:szCs w:val="24"/>
          <w:bdr w:val="none" w:sz="0" w:space="0" w:color="auto" w:frame="1"/>
          <w:lang w:eastAsia="lv-LV"/>
        </w:rPr>
      </w:pPr>
      <w:r w:rsidRPr="5B3C03E0">
        <w:rPr>
          <w:rFonts w:asciiTheme="majorBidi" w:hAnsiTheme="majorBidi" w:cstheme="majorBidi"/>
          <w:color w:val="242424"/>
          <w:sz w:val="24"/>
          <w:szCs w:val="24"/>
          <w:lang w:eastAsia="lv-LV"/>
        </w:rPr>
        <w:t xml:space="preserve">Lūdzam šo informāciju darīt zināmu ieinteresētām ārstniecības personām. </w:t>
      </w:r>
    </w:p>
    <w:p w14:paraId="066F378D" w14:textId="79627DFD" w:rsidR="00A91007" w:rsidRPr="00A91007" w:rsidRDefault="00A91007" w:rsidP="00477923">
      <w:pPr>
        <w:pStyle w:val="BodyB"/>
      </w:pPr>
    </w:p>
    <w:sectPr w:rsidR="00A91007" w:rsidRPr="00A91007" w:rsidSect="008C265B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5DE8" w14:textId="77777777" w:rsidR="00E81AC2" w:rsidRDefault="00E81AC2">
      <w:r>
        <w:separator/>
      </w:r>
    </w:p>
  </w:endnote>
  <w:endnote w:type="continuationSeparator" w:id="0">
    <w:p w14:paraId="70325E6C" w14:textId="77777777" w:rsidR="00E81AC2" w:rsidRDefault="00E8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0120" w14:textId="77777777" w:rsidR="00F84E4B" w:rsidRDefault="00E81AC2" w:rsidP="00F84E4B">
    <w:pPr>
      <w:pStyle w:val="Footer"/>
      <w:jc w:val="center"/>
    </w:pPr>
    <w:r w:rsidRPr="001B3C4F">
      <w:t>DOKUMENTS PARAKSTĪTS ELEKTRONISKI AR DROŠU ELEKTRONISKO PARAKSTU</w:t>
    </w:r>
  </w:p>
  <w:p w14:paraId="50A8FE7E" w14:textId="77777777" w:rsidR="00CD015F" w:rsidRDefault="00E81AC2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445C" w14:textId="77777777" w:rsidR="00E81AC2" w:rsidRDefault="00E81AC2">
      <w:r>
        <w:separator/>
      </w:r>
    </w:p>
  </w:footnote>
  <w:footnote w:type="continuationSeparator" w:id="0">
    <w:p w14:paraId="38704676" w14:textId="77777777" w:rsidR="00E81AC2" w:rsidRDefault="00E81AC2">
      <w:r>
        <w:continuationSeparator/>
      </w:r>
    </w:p>
  </w:footnote>
  <w:footnote w:id="1">
    <w:p w14:paraId="60AFA52D" w14:textId="77777777" w:rsidR="00C613FC" w:rsidRPr="00C613FC" w:rsidRDefault="00C613FC">
      <w:pPr>
        <w:pStyle w:val="FootnoteText"/>
        <w:rPr>
          <w:sz w:val="16"/>
          <w:szCs w:val="16"/>
          <w:lang w:val="en-US"/>
        </w:rPr>
      </w:pPr>
      <w:r w:rsidRPr="00C613FC">
        <w:rPr>
          <w:rStyle w:val="FootnoteReference"/>
          <w:sz w:val="16"/>
          <w:szCs w:val="16"/>
        </w:rPr>
        <w:footnoteRef/>
      </w:r>
      <w:r w:rsidRPr="00C613FC">
        <w:rPr>
          <w:sz w:val="16"/>
          <w:szCs w:val="16"/>
        </w:rPr>
        <w:t xml:space="preserve"> </w:t>
      </w:r>
      <w:hyperlink r:id="rId1" w:tgtFrame="_blank" w:history="1">
        <w:r w:rsidRPr="00C613FC">
          <w:rPr>
            <w:rFonts w:asciiTheme="majorBidi" w:hAnsiTheme="majorBidi" w:cstheme="majorBidi"/>
            <w:color w:val="0000FF"/>
            <w:sz w:val="16"/>
            <w:szCs w:val="16"/>
            <w:u w:val="single"/>
            <w:bdr w:val="none" w:sz="0" w:space="0" w:color="auto" w:frame="1"/>
            <w:lang w:val="en-US" w:eastAsia="lv-LV"/>
          </w:rPr>
          <w:t>https://likumi.lv/ta/id/11215-vakcinacijas-noteikumi</w:t>
        </w:r>
      </w:hyperlink>
      <w:r w:rsidRPr="00C613FC">
        <w:rPr>
          <w:rFonts w:asciiTheme="majorBidi" w:hAnsiTheme="majorBidi" w:cstheme="majorBidi"/>
          <w:color w:val="242424"/>
          <w:sz w:val="16"/>
          <w:szCs w:val="16"/>
          <w:bdr w:val="none" w:sz="0" w:space="0" w:color="auto" w:frame="1"/>
          <w:lang w:val="en-US" w:eastAsia="lv-LV"/>
        </w:rPr>
        <w:t> </w:t>
      </w:r>
    </w:p>
  </w:footnote>
  <w:footnote w:id="2">
    <w:p w14:paraId="4D609C4B" w14:textId="77777777" w:rsidR="00C613FC" w:rsidRPr="00C613FC" w:rsidRDefault="00C613FC">
      <w:pPr>
        <w:pStyle w:val="FootnoteText"/>
        <w:rPr>
          <w:lang w:val="en-US"/>
        </w:rPr>
      </w:pPr>
      <w:r w:rsidRPr="00C613FC">
        <w:rPr>
          <w:rStyle w:val="FootnoteReference"/>
          <w:sz w:val="16"/>
          <w:szCs w:val="16"/>
        </w:rPr>
        <w:footnoteRef/>
      </w:r>
      <w:r w:rsidRPr="00C613FC">
        <w:rPr>
          <w:sz w:val="16"/>
          <w:szCs w:val="16"/>
        </w:rPr>
        <w:t xml:space="preserve"> </w:t>
      </w:r>
      <w:hyperlink r:id="rId2" w:tgtFrame="_blank" w:history="1">
        <w:r w:rsidRPr="00C613FC">
          <w:rPr>
            <w:rStyle w:val="Hyperlink"/>
            <w:rFonts w:asciiTheme="majorBidi" w:hAnsiTheme="majorBidi" w:cstheme="majorBidi"/>
            <w:sz w:val="16"/>
            <w:szCs w:val="16"/>
            <w:bdr w:val="none" w:sz="0" w:space="0" w:color="auto" w:frame="1"/>
            <w:shd w:val="clear" w:color="auto" w:fill="FFFFFF"/>
          </w:rPr>
          <w:t>https://www.ema.europa.eu/en/documents/product-information/fluenz-tetra-epar-product-information_lv.pdf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76723"/>
    <w:multiLevelType w:val="hybridMultilevel"/>
    <w:tmpl w:val="75C4787A"/>
    <w:lvl w:ilvl="0" w:tplc="C71CF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033E0">
      <w:start w:val="1"/>
      <w:numFmt w:val="lowerLetter"/>
      <w:lvlText w:val="%2."/>
      <w:lvlJc w:val="left"/>
      <w:pPr>
        <w:ind w:left="1440" w:hanging="360"/>
      </w:pPr>
    </w:lvl>
    <w:lvl w:ilvl="2" w:tplc="7708D204" w:tentative="1">
      <w:start w:val="1"/>
      <w:numFmt w:val="lowerRoman"/>
      <w:lvlText w:val="%3."/>
      <w:lvlJc w:val="right"/>
      <w:pPr>
        <w:ind w:left="2160" w:hanging="180"/>
      </w:pPr>
    </w:lvl>
    <w:lvl w:ilvl="3" w:tplc="9150428A" w:tentative="1">
      <w:start w:val="1"/>
      <w:numFmt w:val="decimal"/>
      <w:lvlText w:val="%4."/>
      <w:lvlJc w:val="left"/>
      <w:pPr>
        <w:ind w:left="2880" w:hanging="360"/>
      </w:pPr>
    </w:lvl>
    <w:lvl w:ilvl="4" w:tplc="2A625ADA" w:tentative="1">
      <w:start w:val="1"/>
      <w:numFmt w:val="lowerLetter"/>
      <w:lvlText w:val="%5."/>
      <w:lvlJc w:val="left"/>
      <w:pPr>
        <w:ind w:left="3600" w:hanging="360"/>
      </w:pPr>
    </w:lvl>
    <w:lvl w:ilvl="5" w:tplc="F7DA1018" w:tentative="1">
      <w:start w:val="1"/>
      <w:numFmt w:val="lowerRoman"/>
      <w:lvlText w:val="%6."/>
      <w:lvlJc w:val="right"/>
      <w:pPr>
        <w:ind w:left="4320" w:hanging="180"/>
      </w:pPr>
    </w:lvl>
    <w:lvl w:ilvl="6" w:tplc="CCA2DC74" w:tentative="1">
      <w:start w:val="1"/>
      <w:numFmt w:val="decimal"/>
      <w:lvlText w:val="%7."/>
      <w:lvlJc w:val="left"/>
      <w:pPr>
        <w:ind w:left="5040" w:hanging="360"/>
      </w:pPr>
    </w:lvl>
    <w:lvl w:ilvl="7" w:tplc="EC66C4E0" w:tentative="1">
      <w:start w:val="1"/>
      <w:numFmt w:val="lowerLetter"/>
      <w:lvlText w:val="%8."/>
      <w:lvlJc w:val="left"/>
      <w:pPr>
        <w:ind w:left="5760" w:hanging="360"/>
      </w:pPr>
    </w:lvl>
    <w:lvl w:ilvl="8" w:tplc="38801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60722276">
    <w:abstractNumId w:val="0"/>
  </w:num>
  <w:num w:numId="2" w16cid:durableId="61987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D65D1"/>
    <w:rsid w:val="00112C48"/>
    <w:rsid w:val="00154B6E"/>
    <w:rsid w:val="00195A3A"/>
    <w:rsid w:val="001963C5"/>
    <w:rsid w:val="001B3C4F"/>
    <w:rsid w:val="001F3DE1"/>
    <w:rsid w:val="002079F2"/>
    <w:rsid w:val="00222B8B"/>
    <w:rsid w:val="00237C47"/>
    <w:rsid w:val="00247E9C"/>
    <w:rsid w:val="00280BAC"/>
    <w:rsid w:val="002E2460"/>
    <w:rsid w:val="00376EF5"/>
    <w:rsid w:val="003A5E2C"/>
    <w:rsid w:val="003E7BBE"/>
    <w:rsid w:val="003F2940"/>
    <w:rsid w:val="003F6412"/>
    <w:rsid w:val="00415D28"/>
    <w:rsid w:val="00443D6E"/>
    <w:rsid w:val="004568DF"/>
    <w:rsid w:val="00456D43"/>
    <w:rsid w:val="00477923"/>
    <w:rsid w:val="00480BD0"/>
    <w:rsid w:val="004A063D"/>
    <w:rsid w:val="00505CA0"/>
    <w:rsid w:val="005249D9"/>
    <w:rsid w:val="0055269A"/>
    <w:rsid w:val="005603D1"/>
    <w:rsid w:val="00587CC8"/>
    <w:rsid w:val="005D3E87"/>
    <w:rsid w:val="006765DF"/>
    <w:rsid w:val="006D3FD6"/>
    <w:rsid w:val="007322A6"/>
    <w:rsid w:val="0076542E"/>
    <w:rsid w:val="007906BB"/>
    <w:rsid w:val="00893003"/>
    <w:rsid w:val="008B15BC"/>
    <w:rsid w:val="008B6D06"/>
    <w:rsid w:val="008B742D"/>
    <w:rsid w:val="008C265B"/>
    <w:rsid w:val="00987215"/>
    <w:rsid w:val="00994AA3"/>
    <w:rsid w:val="009E26F3"/>
    <w:rsid w:val="00A23AAC"/>
    <w:rsid w:val="00A24A6B"/>
    <w:rsid w:val="00A277B8"/>
    <w:rsid w:val="00A91007"/>
    <w:rsid w:val="00B16961"/>
    <w:rsid w:val="00B86B76"/>
    <w:rsid w:val="00BE7124"/>
    <w:rsid w:val="00BF3D96"/>
    <w:rsid w:val="00C12D6E"/>
    <w:rsid w:val="00C4438A"/>
    <w:rsid w:val="00C613FC"/>
    <w:rsid w:val="00C92245"/>
    <w:rsid w:val="00CA27BF"/>
    <w:rsid w:val="00CB2202"/>
    <w:rsid w:val="00CB77F0"/>
    <w:rsid w:val="00CC1A82"/>
    <w:rsid w:val="00CC4F90"/>
    <w:rsid w:val="00CD015F"/>
    <w:rsid w:val="00D5053F"/>
    <w:rsid w:val="00D831E1"/>
    <w:rsid w:val="00D92D62"/>
    <w:rsid w:val="00DC0153"/>
    <w:rsid w:val="00DC1881"/>
    <w:rsid w:val="00DE33E0"/>
    <w:rsid w:val="00E029CF"/>
    <w:rsid w:val="00E10BEB"/>
    <w:rsid w:val="00E33119"/>
    <w:rsid w:val="00E402D8"/>
    <w:rsid w:val="00E46716"/>
    <w:rsid w:val="00E46A48"/>
    <w:rsid w:val="00E55896"/>
    <w:rsid w:val="00E81AC2"/>
    <w:rsid w:val="00E92ACC"/>
    <w:rsid w:val="00EC6B3B"/>
    <w:rsid w:val="00EE4551"/>
    <w:rsid w:val="00EE7EE5"/>
    <w:rsid w:val="00F84E4B"/>
    <w:rsid w:val="00FB54D0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4D3E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E81AC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3F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3FC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13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ma.europa.eu/en/documents/product-information/fluenz-tetra-epar-product-information_lv.pdf" TargetMode="External"/><Relationship Id="rId1" Type="http://schemas.openxmlformats.org/officeDocument/2006/relationships/hyperlink" Target="https://likumi.lv/ta/id/11215-vakcinacijas-noteikum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5FAB-CBA4-4203-9B57-99487676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5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Linda Krauze</cp:lastModifiedBy>
  <cp:revision>2</cp:revision>
  <cp:lastPrinted>2016-02-15T06:53:00Z</cp:lastPrinted>
  <dcterms:created xsi:type="dcterms:W3CDTF">2023-12-29T15:05:00Z</dcterms:created>
  <dcterms:modified xsi:type="dcterms:W3CDTF">2023-12-29T15:05:00Z</dcterms:modified>
</cp:coreProperties>
</file>