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BD20E" w14:textId="2073D068" w:rsidR="002B24D9" w:rsidRPr="002B24D9" w:rsidRDefault="002B24D9" w:rsidP="002B24D9">
      <w:pPr>
        <w:jc w:val="center"/>
        <w:rPr>
          <w:rFonts w:ascii="Times New Roman" w:hAnsi="Times New Roman"/>
          <w:b/>
          <w:sz w:val="24"/>
          <w:szCs w:val="24"/>
        </w:rPr>
      </w:pPr>
      <w:r w:rsidRPr="002B24D9">
        <w:rPr>
          <w:rFonts w:ascii="Times New Roman" w:hAnsi="Times New Roman"/>
          <w:b/>
          <w:sz w:val="24"/>
          <w:szCs w:val="24"/>
        </w:rPr>
        <w:t>Konsīlija slēdziena noformēšanas nosacījumi  pacientam ar pirmreizēji diagnosticētu onkoloģisko slimību</w:t>
      </w:r>
      <w:r w:rsidR="00B32C0D">
        <w:rPr>
          <w:rFonts w:ascii="Times New Roman" w:hAnsi="Times New Roman"/>
          <w:b/>
          <w:sz w:val="24"/>
          <w:szCs w:val="24"/>
        </w:rPr>
        <w:t xml:space="preserve"> vai ar diagnosticētu onkoloģiskās slimības recidīvu</w:t>
      </w:r>
    </w:p>
    <w:p w14:paraId="44F62FF6" w14:textId="77777777" w:rsidR="002B24D9" w:rsidRPr="002B24D9" w:rsidRDefault="002B24D9" w:rsidP="002B24D9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9214"/>
      </w:tblGrid>
      <w:tr w:rsidR="002B24D9" w:rsidRPr="002B24D9" w14:paraId="514DDC59" w14:textId="77777777" w:rsidTr="006A3F62">
        <w:tc>
          <w:tcPr>
            <w:tcW w:w="846" w:type="dxa"/>
          </w:tcPr>
          <w:p w14:paraId="339AD825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N.p.k.</w:t>
            </w:r>
          </w:p>
        </w:tc>
        <w:tc>
          <w:tcPr>
            <w:tcW w:w="2835" w:type="dxa"/>
          </w:tcPr>
          <w:p w14:paraId="5662CCDF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Rādītājs</w:t>
            </w:r>
          </w:p>
        </w:tc>
        <w:tc>
          <w:tcPr>
            <w:tcW w:w="9214" w:type="dxa"/>
          </w:tcPr>
          <w:p w14:paraId="275A6127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Saturs</w:t>
            </w:r>
          </w:p>
        </w:tc>
      </w:tr>
      <w:tr w:rsidR="002B24D9" w:rsidRPr="002B24D9" w14:paraId="7AECC273" w14:textId="77777777" w:rsidTr="006A3F62">
        <w:tc>
          <w:tcPr>
            <w:tcW w:w="846" w:type="dxa"/>
          </w:tcPr>
          <w:p w14:paraId="330B319A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1</w:t>
            </w:r>
          </w:p>
        </w:tc>
        <w:tc>
          <w:tcPr>
            <w:tcW w:w="2835" w:type="dxa"/>
          </w:tcPr>
          <w:p w14:paraId="4F7AB0AB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Konsīlija datums</w:t>
            </w:r>
          </w:p>
        </w:tc>
        <w:tc>
          <w:tcPr>
            <w:tcW w:w="9214" w:type="dxa"/>
          </w:tcPr>
          <w:p w14:paraId="30D87427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Norāda datumu, kad ir veikts konsīlijs, papildus norāda, vai konsīlijs veikts pacienta klātbūtnē, vai bez tās.*</w:t>
            </w:r>
          </w:p>
        </w:tc>
      </w:tr>
      <w:tr w:rsidR="002B24D9" w:rsidRPr="002B24D9" w14:paraId="6354AAE9" w14:textId="77777777" w:rsidTr="006A3F62">
        <w:tc>
          <w:tcPr>
            <w:tcW w:w="846" w:type="dxa"/>
          </w:tcPr>
          <w:p w14:paraId="67EC9E26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2</w:t>
            </w:r>
          </w:p>
        </w:tc>
        <w:tc>
          <w:tcPr>
            <w:tcW w:w="2835" w:type="dxa"/>
          </w:tcPr>
          <w:p w14:paraId="7B7C190D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Ārstniecības iestāde</w:t>
            </w:r>
          </w:p>
        </w:tc>
        <w:tc>
          <w:tcPr>
            <w:tcW w:w="9214" w:type="dxa"/>
          </w:tcPr>
          <w:p w14:paraId="62DA1496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Tiek norādīta ārstniecības iestāde, kurā notika konsīlijs</w:t>
            </w:r>
          </w:p>
        </w:tc>
      </w:tr>
      <w:tr w:rsidR="002B24D9" w:rsidRPr="002B24D9" w14:paraId="5A9F829A" w14:textId="77777777" w:rsidTr="006A3F62">
        <w:tc>
          <w:tcPr>
            <w:tcW w:w="846" w:type="dxa"/>
          </w:tcPr>
          <w:p w14:paraId="422DA67A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3</w:t>
            </w:r>
          </w:p>
        </w:tc>
        <w:tc>
          <w:tcPr>
            <w:tcW w:w="2835" w:type="dxa"/>
          </w:tcPr>
          <w:p w14:paraId="6C587D7F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Personas dati</w:t>
            </w:r>
          </w:p>
        </w:tc>
        <w:tc>
          <w:tcPr>
            <w:tcW w:w="9214" w:type="dxa"/>
          </w:tcPr>
          <w:p w14:paraId="19D34F8D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Personas vārds , uzvārds, personas kods, deklarētā un  faktiskās dzīvesvieta, tālrunis, e- pasts</w:t>
            </w:r>
          </w:p>
        </w:tc>
      </w:tr>
      <w:tr w:rsidR="002B24D9" w:rsidRPr="002B24D9" w14:paraId="2151E7BF" w14:textId="77777777" w:rsidTr="006A3F62">
        <w:tc>
          <w:tcPr>
            <w:tcW w:w="846" w:type="dxa"/>
          </w:tcPr>
          <w:p w14:paraId="3462387F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4</w:t>
            </w:r>
          </w:p>
        </w:tc>
        <w:tc>
          <w:tcPr>
            <w:tcW w:w="2835" w:type="dxa"/>
          </w:tcPr>
          <w:p w14:paraId="371E1EDA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 xml:space="preserve">Pamata diagnoze </w:t>
            </w:r>
          </w:p>
        </w:tc>
        <w:tc>
          <w:tcPr>
            <w:tcW w:w="9214" w:type="dxa"/>
          </w:tcPr>
          <w:p w14:paraId="19926C50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Diagnoze vārdiem  atbilstoši SSK-10 klasifikatoram un diagnozes kods ar vismaz četrām zīmēm</w:t>
            </w:r>
          </w:p>
        </w:tc>
      </w:tr>
      <w:tr w:rsidR="002B24D9" w:rsidRPr="002B24D9" w14:paraId="686C19BE" w14:textId="77777777" w:rsidTr="006A3F62">
        <w:tc>
          <w:tcPr>
            <w:tcW w:w="846" w:type="dxa"/>
          </w:tcPr>
          <w:p w14:paraId="5E344414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5</w:t>
            </w:r>
          </w:p>
        </w:tc>
        <w:tc>
          <w:tcPr>
            <w:tcW w:w="2835" w:type="dxa"/>
          </w:tcPr>
          <w:p w14:paraId="1624AE3A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 xml:space="preserve">Blakus diagnoze/s </w:t>
            </w:r>
          </w:p>
        </w:tc>
        <w:tc>
          <w:tcPr>
            <w:tcW w:w="9214" w:type="dxa"/>
          </w:tcPr>
          <w:p w14:paraId="183C9D52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trike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Diagnoze/s atbilstoši SSK-10 klasifikatoram, t.sk diagnozes kods diagnozes kods ar vismaz četrām zīmēm</w:t>
            </w:r>
          </w:p>
        </w:tc>
      </w:tr>
      <w:tr w:rsidR="002B24D9" w:rsidRPr="002B24D9" w14:paraId="6C0BA5B4" w14:textId="77777777" w:rsidTr="006A3F62">
        <w:tc>
          <w:tcPr>
            <w:tcW w:w="846" w:type="dxa"/>
          </w:tcPr>
          <w:p w14:paraId="16248EC1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6</w:t>
            </w:r>
          </w:p>
        </w:tc>
        <w:tc>
          <w:tcPr>
            <w:tcW w:w="2835" w:type="dxa"/>
          </w:tcPr>
          <w:p w14:paraId="138537D7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TNM klasifikācija</w:t>
            </w:r>
          </w:p>
        </w:tc>
        <w:tc>
          <w:tcPr>
            <w:tcW w:w="9214" w:type="dxa"/>
          </w:tcPr>
          <w:p w14:paraId="78BBEFA5" w14:textId="77777777" w:rsidR="002B24D9" w:rsidRPr="002B24D9" w:rsidRDefault="002B24D9" w:rsidP="006A3F62">
            <w:pPr>
              <w:tabs>
                <w:tab w:val="left" w:pos="2268"/>
              </w:tabs>
              <w:spacing w:after="120"/>
              <w:jc w:val="both"/>
              <w:outlineLvl w:val="0"/>
              <w:rPr>
                <w:sz w:val="20"/>
                <w:szCs w:val="20"/>
                <w:vertAlign w:val="superscript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 xml:space="preserve"> </w:t>
            </w:r>
            <w:r w:rsidRPr="002B24D9">
              <w:rPr>
                <w:b/>
                <w:sz w:val="20"/>
                <w:szCs w:val="20"/>
                <w:lang w:val="lv-LV"/>
              </w:rPr>
              <w:t>T</w:t>
            </w:r>
            <w:r w:rsidRPr="002B24D9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24D9">
              <w:rPr>
                <w:sz w:val="20"/>
                <w:szCs w:val="20"/>
                <w:lang w:val="lv-LV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2B24D9">
              <w:rPr>
                <w:sz w:val="20"/>
                <w:szCs w:val="20"/>
              </w:rPr>
              <w:fldChar w:fldCharType="end"/>
            </w:r>
            <w:r w:rsidRPr="002B24D9">
              <w:rPr>
                <w:sz w:val="20"/>
                <w:szCs w:val="20"/>
                <w:lang w:val="lv-LV"/>
              </w:rPr>
              <w:t xml:space="preserve">   </w:t>
            </w:r>
            <w:r w:rsidRPr="002B24D9">
              <w:rPr>
                <w:b/>
                <w:sz w:val="20"/>
                <w:szCs w:val="20"/>
                <w:lang w:val="lv-LV"/>
              </w:rPr>
              <w:t>N</w:t>
            </w:r>
            <w:r w:rsidRPr="002B24D9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24D9">
              <w:rPr>
                <w:sz w:val="20"/>
                <w:szCs w:val="20"/>
                <w:lang w:val="lv-LV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2B24D9">
              <w:rPr>
                <w:sz w:val="20"/>
                <w:szCs w:val="20"/>
              </w:rPr>
              <w:fldChar w:fldCharType="end"/>
            </w:r>
            <w:r w:rsidRPr="002B24D9">
              <w:rPr>
                <w:sz w:val="20"/>
                <w:szCs w:val="20"/>
                <w:lang w:val="lv-LV"/>
              </w:rPr>
              <w:t xml:space="preserve">   </w:t>
            </w:r>
            <w:r w:rsidRPr="002B24D9">
              <w:rPr>
                <w:b/>
                <w:sz w:val="20"/>
                <w:szCs w:val="20"/>
                <w:lang w:val="lv-LV"/>
              </w:rPr>
              <w:t>M</w:t>
            </w:r>
            <w:r w:rsidRPr="002B24D9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24D9">
              <w:rPr>
                <w:sz w:val="20"/>
                <w:szCs w:val="20"/>
                <w:lang w:val="lv-LV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2B24D9">
              <w:rPr>
                <w:sz w:val="20"/>
                <w:szCs w:val="20"/>
              </w:rPr>
              <w:fldChar w:fldCharType="end"/>
            </w:r>
            <w:r w:rsidRPr="002B24D9">
              <w:rPr>
                <w:sz w:val="20"/>
                <w:szCs w:val="20"/>
                <w:lang w:val="lv-LV"/>
              </w:rPr>
              <w:t xml:space="preserve">   </w:t>
            </w:r>
            <w:r w:rsidRPr="002B24D9">
              <w:rPr>
                <w:b/>
                <w:sz w:val="20"/>
                <w:szCs w:val="20"/>
                <w:lang w:val="lv-LV"/>
              </w:rPr>
              <w:t>G</w:t>
            </w:r>
            <w:r w:rsidRPr="002B24D9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24D9">
              <w:rPr>
                <w:sz w:val="20"/>
                <w:szCs w:val="20"/>
                <w:lang w:val="lv-LV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2B24D9">
              <w:rPr>
                <w:sz w:val="20"/>
                <w:szCs w:val="20"/>
              </w:rPr>
              <w:fldChar w:fldCharType="end"/>
            </w:r>
            <w:r w:rsidRPr="002B24D9">
              <w:rPr>
                <w:sz w:val="20"/>
                <w:szCs w:val="20"/>
                <w:lang w:val="lv-LV"/>
              </w:rPr>
              <w:t xml:space="preserve">   </w:t>
            </w:r>
            <w:r w:rsidRPr="002B24D9">
              <w:rPr>
                <w:b/>
                <w:sz w:val="20"/>
                <w:szCs w:val="20"/>
                <w:lang w:val="lv-LV"/>
              </w:rPr>
              <w:t>pT</w:t>
            </w:r>
            <w:r w:rsidRPr="002B24D9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24D9">
              <w:rPr>
                <w:sz w:val="20"/>
                <w:szCs w:val="20"/>
                <w:lang w:val="lv-LV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2B24D9">
              <w:rPr>
                <w:sz w:val="20"/>
                <w:szCs w:val="20"/>
              </w:rPr>
              <w:fldChar w:fldCharType="end"/>
            </w:r>
            <w:r w:rsidRPr="002B24D9">
              <w:rPr>
                <w:sz w:val="20"/>
                <w:szCs w:val="20"/>
                <w:lang w:val="lv-LV"/>
              </w:rPr>
              <w:t xml:space="preserve">   </w:t>
            </w:r>
          </w:p>
          <w:p w14:paraId="5CE58427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 xml:space="preserve">Ja dažādu iemeslu dēļ tas nav iespējams, tad jāsniedz paskaidrojums (piemēram, nav veikta operācija). </w:t>
            </w:r>
          </w:p>
        </w:tc>
      </w:tr>
      <w:tr w:rsidR="002B24D9" w:rsidRPr="002B24D9" w14:paraId="38EB1AC9" w14:textId="77777777" w:rsidTr="006A3F62">
        <w:tc>
          <w:tcPr>
            <w:tcW w:w="846" w:type="dxa"/>
          </w:tcPr>
          <w:p w14:paraId="15E0ECEB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7</w:t>
            </w:r>
          </w:p>
        </w:tc>
        <w:tc>
          <w:tcPr>
            <w:tcW w:w="2835" w:type="dxa"/>
          </w:tcPr>
          <w:p w14:paraId="70EDB707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Slimības stadija</w:t>
            </w:r>
          </w:p>
        </w:tc>
        <w:tc>
          <w:tcPr>
            <w:tcW w:w="9214" w:type="dxa"/>
          </w:tcPr>
          <w:p w14:paraId="6A938891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 xml:space="preserve">Norāda slimības stadiju </w:t>
            </w:r>
            <w:r w:rsidRPr="002B24D9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(O, Ois, OA, I, IA, IA1, IA2, IB, IB1, IB2, IC, II, IIA, IIB, IIC, III, IIIA, IIIB, IIIC, IV, IVA, IVB, IVC, neprecizēta – X)</w:t>
            </w:r>
          </w:p>
        </w:tc>
      </w:tr>
      <w:tr w:rsidR="002B24D9" w:rsidRPr="002B24D9" w14:paraId="4C19738A" w14:textId="77777777" w:rsidTr="006A3F62">
        <w:tc>
          <w:tcPr>
            <w:tcW w:w="846" w:type="dxa"/>
          </w:tcPr>
          <w:p w14:paraId="2E6F7161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8</w:t>
            </w:r>
          </w:p>
        </w:tc>
        <w:tc>
          <w:tcPr>
            <w:tcW w:w="2835" w:type="dxa"/>
          </w:tcPr>
          <w:p w14:paraId="045D6059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Diagnoze apstiprināta</w:t>
            </w:r>
          </w:p>
        </w:tc>
        <w:tc>
          <w:tcPr>
            <w:tcW w:w="9214" w:type="dxa"/>
          </w:tcPr>
          <w:p w14:paraId="0D45DC19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Norāda kāda izmeklējuma laikā ir veikta audu parauga paņemšana, kas apstiprina diagnozi, vai ar kāds izmeklējums/i apstiprina uzstādīto pamatdiagnozi, ja diagnoze nav apstiprināta morfoloģiski</w:t>
            </w:r>
          </w:p>
        </w:tc>
      </w:tr>
      <w:tr w:rsidR="002B24D9" w:rsidRPr="002B24D9" w14:paraId="376199C3" w14:textId="77777777" w:rsidTr="006A3F62">
        <w:tc>
          <w:tcPr>
            <w:tcW w:w="846" w:type="dxa"/>
          </w:tcPr>
          <w:p w14:paraId="0772416A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9</w:t>
            </w:r>
          </w:p>
        </w:tc>
        <w:tc>
          <w:tcPr>
            <w:tcW w:w="2835" w:type="dxa"/>
          </w:tcPr>
          <w:p w14:paraId="45442F89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Morfoloģija</w:t>
            </w:r>
          </w:p>
        </w:tc>
        <w:tc>
          <w:tcPr>
            <w:tcW w:w="9214" w:type="dxa"/>
          </w:tcPr>
          <w:p w14:paraId="63E0852A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 xml:space="preserve">Morfoloģijas atbilstoši SSK-10 klasifikatoram un citu patoloģiskās izmeklēšanas laikā iegūto informāciju, piemēram, receptoru stāvoklis,  molekulāri bioloģiski rādītāji vai mutācijas. </w:t>
            </w:r>
          </w:p>
        </w:tc>
      </w:tr>
      <w:tr w:rsidR="002B24D9" w:rsidRPr="002B24D9" w14:paraId="081A3BC1" w14:textId="77777777" w:rsidTr="006A3F62">
        <w:tc>
          <w:tcPr>
            <w:tcW w:w="846" w:type="dxa"/>
          </w:tcPr>
          <w:p w14:paraId="3654B132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lastRenderedPageBreak/>
              <w:t>10</w:t>
            </w:r>
          </w:p>
        </w:tc>
        <w:tc>
          <w:tcPr>
            <w:tcW w:w="2835" w:type="dxa"/>
          </w:tcPr>
          <w:p w14:paraId="6A1E9F75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Ar slimību vai tās terapiju saistītas komplikācijas</w:t>
            </w:r>
          </w:p>
        </w:tc>
        <w:tc>
          <w:tcPr>
            <w:tcW w:w="9214" w:type="dxa"/>
          </w:tcPr>
          <w:p w14:paraId="33D8329B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Šajā sadaļā norāda ar slimības tālākas progresēšanas vai ar terapiju saistītos riskus veselībai un iespējamās blaknes.</w:t>
            </w:r>
          </w:p>
        </w:tc>
      </w:tr>
      <w:tr w:rsidR="002B24D9" w:rsidRPr="00B32C0D" w14:paraId="03CE472D" w14:textId="77777777" w:rsidTr="006A3F62">
        <w:tc>
          <w:tcPr>
            <w:tcW w:w="846" w:type="dxa"/>
          </w:tcPr>
          <w:p w14:paraId="71730D9D" w14:textId="77777777" w:rsidR="002B24D9" w:rsidRPr="00B32C0D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B32C0D">
              <w:rPr>
                <w:rFonts w:ascii="Times New Roman" w:hAnsi="Times New Roman" w:cs="Times New Roman"/>
                <w:sz w:val="24"/>
                <w:lang w:val="lv-LV"/>
              </w:rPr>
              <w:t>11</w:t>
            </w:r>
          </w:p>
        </w:tc>
        <w:tc>
          <w:tcPr>
            <w:tcW w:w="2835" w:type="dxa"/>
          </w:tcPr>
          <w:p w14:paraId="65DE2A35" w14:textId="77777777" w:rsidR="002B24D9" w:rsidRPr="00B32C0D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B32C0D">
              <w:rPr>
                <w:rFonts w:ascii="Times New Roman" w:hAnsi="Times New Roman" w:cs="Times New Roman"/>
                <w:b/>
                <w:sz w:val="24"/>
                <w:lang w:val="lv-LV"/>
              </w:rPr>
              <w:t>Lēmums par slimības  terapijas taktiku</w:t>
            </w:r>
          </w:p>
        </w:tc>
        <w:tc>
          <w:tcPr>
            <w:tcW w:w="9214" w:type="dxa"/>
          </w:tcPr>
          <w:p w14:paraId="17061BEE" w14:textId="77777777" w:rsidR="002B24D9" w:rsidRPr="00B32C0D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B32C0D">
              <w:rPr>
                <w:rFonts w:ascii="Times New Roman" w:hAnsi="Times New Roman" w:cs="Times New Roman"/>
                <w:sz w:val="24"/>
                <w:lang w:val="lv-LV"/>
              </w:rPr>
              <w:t>Precīzi norāda pa sadaļām:</w:t>
            </w:r>
          </w:p>
          <w:p w14:paraId="606A49C8" w14:textId="77777777" w:rsidR="002B24D9" w:rsidRPr="00B32C0D" w:rsidRDefault="002B24D9" w:rsidP="002B24D9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B32C0D">
              <w:rPr>
                <w:rFonts w:ascii="Times New Roman" w:hAnsi="Times New Roman" w:cs="Times New Roman"/>
                <w:sz w:val="24"/>
                <w:lang w:val="lv-LV"/>
              </w:rPr>
              <w:t>ķirurģija (nav nepieciešama, primāra radikāla, paliatīva, simptomātiska),</w:t>
            </w:r>
          </w:p>
          <w:p w14:paraId="689D7311" w14:textId="77777777" w:rsidR="002B24D9" w:rsidRPr="00B32C0D" w:rsidRDefault="002B24D9" w:rsidP="002B24D9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B32C0D">
              <w:rPr>
                <w:rFonts w:ascii="Times New Roman" w:hAnsi="Times New Roman" w:cs="Times New Roman"/>
                <w:sz w:val="24"/>
                <w:lang w:val="lv-LV"/>
              </w:rPr>
              <w:t xml:space="preserve"> staru terapija (radikāla, papildu, paliatīva vai simptomātiska), </w:t>
            </w:r>
          </w:p>
          <w:p w14:paraId="7B544537" w14:textId="77777777" w:rsidR="002B24D9" w:rsidRPr="00B32C0D" w:rsidRDefault="002B24D9" w:rsidP="002B24D9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B32C0D">
              <w:rPr>
                <w:rFonts w:ascii="Times New Roman" w:hAnsi="Times New Roman" w:cs="Times New Roman"/>
                <w:sz w:val="24"/>
                <w:lang w:val="lv-LV"/>
              </w:rPr>
              <w:t xml:space="preserve">medikamentozā terapija (neoadjuvanta, adjuvanta, paliatīva), </w:t>
            </w:r>
          </w:p>
          <w:p w14:paraId="6AF03A5A" w14:textId="77777777" w:rsidR="002B24D9" w:rsidRPr="00B32C0D" w:rsidRDefault="002B24D9" w:rsidP="002B24D9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B32C0D">
              <w:rPr>
                <w:rFonts w:ascii="Times New Roman" w:hAnsi="Times New Roman" w:cs="Times New Roman"/>
                <w:sz w:val="24"/>
                <w:lang w:val="lv-LV"/>
              </w:rPr>
              <w:t>mērķterapija;</w:t>
            </w:r>
          </w:p>
          <w:p w14:paraId="1CFB73C7" w14:textId="77777777" w:rsidR="002B24D9" w:rsidRPr="00B32C0D" w:rsidRDefault="002B24D9" w:rsidP="002B24D9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B32C0D">
              <w:rPr>
                <w:rFonts w:ascii="Times New Roman" w:hAnsi="Times New Roman" w:cs="Times New Roman"/>
                <w:sz w:val="24"/>
                <w:lang w:val="lv-LV"/>
              </w:rPr>
              <w:t>imūnterapija;</w:t>
            </w:r>
          </w:p>
          <w:p w14:paraId="75954E1D" w14:textId="77CDA78A" w:rsidR="002B24D9" w:rsidRPr="00B32C0D" w:rsidRDefault="002B24D9" w:rsidP="002B24D9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B32C0D">
              <w:rPr>
                <w:rFonts w:ascii="Times New Roman" w:hAnsi="Times New Roman" w:cs="Times New Roman"/>
                <w:sz w:val="24"/>
                <w:lang w:val="lv-LV"/>
              </w:rPr>
              <w:t>paliatīvā aprūpe (</w:t>
            </w:r>
            <w:r w:rsidR="001766EC" w:rsidRPr="00BD6CA1">
              <w:rPr>
                <w:rFonts w:ascii="Times New Roman" w:hAnsi="Times New Roman" w:cs="Times New Roman"/>
                <w:sz w:val="24"/>
                <w:lang w:val="lv-LV"/>
              </w:rPr>
              <w:t>ir/</w:t>
            </w:r>
            <w:r w:rsidRPr="00B32C0D">
              <w:rPr>
                <w:rFonts w:ascii="Times New Roman" w:hAnsi="Times New Roman" w:cs="Times New Roman"/>
                <w:sz w:val="24"/>
                <w:lang w:val="lv-LV"/>
              </w:rPr>
              <w:t>nav nepieciešama, ja ir nepieciešama, tad norāda nepieciešamo paliatīvo aprūpes apjomu);</w:t>
            </w:r>
          </w:p>
          <w:p w14:paraId="0F00AC43" w14:textId="592069D8" w:rsidR="001766EC" w:rsidRPr="00B32C0D" w:rsidRDefault="001766EC" w:rsidP="002B24D9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B32C0D">
              <w:rPr>
                <w:rFonts w:ascii="Times New Roman" w:hAnsi="Times New Roman" w:cs="Times New Roman"/>
                <w:sz w:val="24"/>
              </w:rPr>
              <w:t xml:space="preserve">paliatīvās aprūpes mobilās komandas pakalpojums jeb hospisa aprūpe pacienta dzīvesvietā (ir/nav </w:t>
            </w:r>
            <w:proofErr w:type="gramStart"/>
            <w:r w:rsidRPr="00B32C0D">
              <w:rPr>
                <w:rFonts w:ascii="Times New Roman" w:hAnsi="Times New Roman" w:cs="Times New Roman"/>
                <w:sz w:val="24"/>
              </w:rPr>
              <w:t>nepieciešams)*</w:t>
            </w:r>
            <w:proofErr w:type="gramEnd"/>
            <w:r w:rsidRPr="00B32C0D">
              <w:rPr>
                <w:rFonts w:ascii="Times New Roman" w:hAnsi="Times New Roman" w:cs="Times New Roman"/>
                <w:sz w:val="24"/>
              </w:rPr>
              <w:t>*</w:t>
            </w:r>
          </w:p>
          <w:p w14:paraId="7BE2B0E8" w14:textId="696DC614" w:rsidR="002B24D9" w:rsidRPr="00B32C0D" w:rsidRDefault="002B24D9" w:rsidP="002B24D9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B32C0D">
              <w:rPr>
                <w:rFonts w:ascii="Times New Roman" w:hAnsi="Times New Roman" w:cs="Times New Roman"/>
                <w:sz w:val="24"/>
                <w:lang w:val="lv-LV"/>
              </w:rPr>
              <w:t>speciālistu, kas turpmāk veiks pacienta slimības ārstēšanu un uzraudzību ( piemēram, onkologs ķīmijterapeits, ķirurgs, onkologs ginekologs, ģimenes ārsts)</w:t>
            </w:r>
          </w:p>
          <w:p w14:paraId="146B3577" w14:textId="77777777" w:rsidR="002B24D9" w:rsidRPr="00B32C0D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B32C0D">
              <w:rPr>
                <w:rFonts w:ascii="Times New Roman" w:hAnsi="Times New Roman" w:cs="Times New Roman"/>
                <w:sz w:val="24"/>
                <w:lang w:val="lv-LV"/>
              </w:rPr>
              <w:t xml:space="preserve"> Šī konsīlija ietvaros ir jālemj par Latvijā kompensējamiem medikamentiem. </w:t>
            </w:r>
          </w:p>
          <w:p w14:paraId="42A9B695" w14:textId="5C995B73" w:rsidR="001766EC" w:rsidRPr="00B32C0D" w:rsidRDefault="00314E3D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B32C0D">
              <w:rPr>
                <w:rFonts w:ascii="Times New Roman" w:hAnsi="Times New Roman" w:cs="Times New Roman"/>
                <w:sz w:val="24"/>
              </w:rPr>
              <w:t>Šī konsīlija ietvaros ir jālemj par reproduktīvā materiāla iegūšanu un uzglabāšanu pirms ķīmijterapijas</w:t>
            </w:r>
            <w:r w:rsidR="006F3004" w:rsidRPr="00B32C0D">
              <w:rPr>
                <w:rFonts w:ascii="Times New Roman" w:hAnsi="Times New Roman" w:cs="Times New Roman"/>
                <w:sz w:val="24"/>
              </w:rPr>
              <w:t>, veicot atzīmi šī konsīlijā slēdzienā, ja pakalpojums ir jānodrošina, ņemot vērā pakalpojuma saņemšanas lietderību un iespējas, kā arī pacienta vēlmes.</w:t>
            </w:r>
          </w:p>
        </w:tc>
      </w:tr>
      <w:tr w:rsidR="002B24D9" w:rsidRPr="00B32C0D" w14:paraId="4F1B448D" w14:textId="77777777" w:rsidTr="006A3F62">
        <w:tc>
          <w:tcPr>
            <w:tcW w:w="846" w:type="dxa"/>
          </w:tcPr>
          <w:p w14:paraId="1B8D430C" w14:textId="77777777" w:rsidR="002B24D9" w:rsidRPr="00B32C0D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B32C0D">
              <w:rPr>
                <w:rFonts w:ascii="Times New Roman" w:hAnsi="Times New Roman" w:cs="Times New Roman"/>
                <w:sz w:val="24"/>
                <w:lang w:val="lv-LV"/>
              </w:rPr>
              <w:t>12</w:t>
            </w:r>
          </w:p>
        </w:tc>
        <w:tc>
          <w:tcPr>
            <w:tcW w:w="2835" w:type="dxa"/>
          </w:tcPr>
          <w:p w14:paraId="1551D198" w14:textId="77777777" w:rsidR="002B24D9" w:rsidRPr="00B32C0D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B32C0D">
              <w:rPr>
                <w:rFonts w:ascii="Times New Roman" w:hAnsi="Times New Roman" w:cs="Times New Roman"/>
                <w:b/>
                <w:sz w:val="24"/>
                <w:lang w:val="lv-LV"/>
              </w:rPr>
              <w:t>Prognoze par pacienta veselības stāvokli uz konsīlija norises brīdi</w:t>
            </w:r>
          </w:p>
        </w:tc>
        <w:tc>
          <w:tcPr>
            <w:tcW w:w="9214" w:type="dxa"/>
          </w:tcPr>
          <w:p w14:paraId="7EE26A77" w14:textId="77777777" w:rsidR="002B24D9" w:rsidRPr="00B32C0D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B32C0D">
              <w:rPr>
                <w:rFonts w:ascii="Times New Roman" w:hAnsi="Times New Roman" w:cs="Times New Roman"/>
                <w:sz w:val="24"/>
                <w:lang w:val="lv-LV"/>
              </w:rPr>
              <w:t xml:space="preserve">Tiek norādīta  prognozējama īstermiņa vai ilgtermiņa darbnespēja, vai ilgtermiņa invaliditāte. </w:t>
            </w:r>
          </w:p>
        </w:tc>
      </w:tr>
      <w:tr w:rsidR="002B24D9" w:rsidRPr="00B32C0D" w14:paraId="402CA89C" w14:textId="77777777" w:rsidTr="006A3F62">
        <w:tc>
          <w:tcPr>
            <w:tcW w:w="846" w:type="dxa"/>
          </w:tcPr>
          <w:p w14:paraId="6421AFA9" w14:textId="77777777" w:rsidR="002B24D9" w:rsidRPr="00B32C0D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B32C0D">
              <w:rPr>
                <w:rFonts w:ascii="Times New Roman" w:hAnsi="Times New Roman" w:cs="Times New Roman"/>
                <w:sz w:val="24"/>
                <w:lang w:val="lv-LV"/>
              </w:rPr>
              <w:t>13</w:t>
            </w:r>
          </w:p>
        </w:tc>
        <w:tc>
          <w:tcPr>
            <w:tcW w:w="2835" w:type="dxa"/>
          </w:tcPr>
          <w:p w14:paraId="7B5CC972" w14:textId="77777777" w:rsidR="002B24D9" w:rsidRPr="00B32C0D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B32C0D">
              <w:rPr>
                <w:rFonts w:ascii="Times New Roman" w:hAnsi="Times New Roman" w:cs="Times New Roman"/>
                <w:b/>
                <w:sz w:val="24"/>
                <w:lang w:val="lv-LV"/>
              </w:rPr>
              <w:t>Ārstniecības personas</w:t>
            </w:r>
          </w:p>
        </w:tc>
        <w:tc>
          <w:tcPr>
            <w:tcW w:w="9214" w:type="dxa"/>
          </w:tcPr>
          <w:p w14:paraId="31A91F90" w14:textId="77777777" w:rsidR="002B24D9" w:rsidRPr="00B32C0D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B32C0D">
              <w:rPr>
                <w:rFonts w:ascii="Times New Roman" w:hAnsi="Times New Roman" w:cs="Times New Roman"/>
                <w:sz w:val="24"/>
                <w:lang w:val="lv-LV"/>
              </w:rPr>
              <w:t>Norāda ārstniecības personas vārdu, uzvārdu, specialitāti, kas piedalījās konsīlijā un ārstniecības personas ar savu parakstu un zīmogu apliecina pieņemto lēmumu.</w:t>
            </w:r>
          </w:p>
        </w:tc>
      </w:tr>
    </w:tbl>
    <w:p w14:paraId="0C4D4596" w14:textId="77777777" w:rsidR="002B24D9" w:rsidRPr="00B32C0D" w:rsidRDefault="002B24D9" w:rsidP="002B24D9">
      <w:pPr>
        <w:jc w:val="center"/>
        <w:rPr>
          <w:rFonts w:ascii="Times New Roman" w:hAnsi="Times New Roman" w:cs="Times New Roman"/>
          <w:b/>
          <w:sz w:val="24"/>
        </w:rPr>
      </w:pPr>
    </w:p>
    <w:p w14:paraId="0B7347F6" w14:textId="77777777" w:rsidR="002B24D9" w:rsidRPr="00B32C0D" w:rsidRDefault="002B24D9" w:rsidP="002B24D9">
      <w:pPr>
        <w:pStyle w:val="ListParagraph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B32C0D">
        <w:rPr>
          <w:rFonts w:ascii="Times New Roman" w:hAnsi="Times New Roman" w:cs="Times New Roman"/>
          <w:sz w:val="24"/>
        </w:rPr>
        <w:t>*Ja konsīlijs notiek bez pacienta klātbūtnes, pacientu konsīlija rezultātu iepazīstina ārstējošais ārsts</w:t>
      </w:r>
    </w:p>
    <w:p w14:paraId="609C723F" w14:textId="3A5EC334" w:rsidR="002B24D9" w:rsidRPr="002B24D9" w:rsidRDefault="001766EC" w:rsidP="00B32C0D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B32C0D">
        <w:rPr>
          <w:rFonts w:ascii="Times New Roman" w:hAnsi="Times New Roman" w:cs="Times New Roman"/>
          <w:sz w:val="24"/>
        </w:rPr>
        <w:lastRenderedPageBreak/>
        <w:t>** Paliatīvās aprūpes mobilās komandas pakalpojums jeb hospisa aprūpe pacienta dzīvesvietā ir indicēta, ja pacienta prognozējamā dzīvildze ir līdz 6 mēnešiem, balstoties uz Ārstniecības likuma 1.panta 31.punktu. Izvērtējot minēta pakalpojuma nepieciešamību, pacienta medicīniskajā dokumentācijā – stacionārajā vai ambulatorajā medicīnas kartē jābūt ierakstam par pacienta prognozējamo dzīvildzi.</w:t>
      </w:r>
    </w:p>
    <w:p w14:paraId="3A8C1422" w14:textId="77777777" w:rsidR="00E0125E" w:rsidRPr="002B24D9" w:rsidRDefault="00E0125E"/>
    <w:sectPr w:rsidR="00E0125E" w:rsidRPr="002B24D9" w:rsidSect="00D405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C6FB7"/>
    <w:multiLevelType w:val="hybridMultilevel"/>
    <w:tmpl w:val="34AAE08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1221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6F"/>
    <w:rsid w:val="001766EC"/>
    <w:rsid w:val="002B24D9"/>
    <w:rsid w:val="00314E3D"/>
    <w:rsid w:val="00401A68"/>
    <w:rsid w:val="006F3004"/>
    <w:rsid w:val="00B32C0D"/>
    <w:rsid w:val="00C82C06"/>
    <w:rsid w:val="00D40528"/>
    <w:rsid w:val="00E0125E"/>
    <w:rsid w:val="00EC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6BCB94"/>
  <w15:chartTrackingRefBased/>
  <w15:docId w15:val="{CA831AFF-7EEC-4318-93B4-2AB71BDD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4D9"/>
    <w:pPr>
      <w:ind w:left="720"/>
      <w:contextualSpacing/>
    </w:pPr>
  </w:style>
  <w:style w:type="table" w:styleId="TableGrid">
    <w:name w:val="Table Grid"/>
    <w:basedOn w:val="TableNormal"/>
    <w:uiPriority w:val="39"/>
    <w:rsid w:val="002B24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766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2303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Jūlija Voropajeva</cp:lastModifiedBy>
  <cp:revision>3</cp:revision>
  <dcterms:created xsi:type="dcterms:W3CDTF">2024-02-15T11:10:00Z</dcterms:created>
  <dcterms:modified xsi:type="dcterms:W3CDTF">2024-02-20T10:14:00Z</dcterms:modified>
</cp:coreProperties>
</file>