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158A5996" w:rsidR="002C35F4" w:rsidRDefault="002A1BD3" w:rsidP="006C1832">
      <w:pPr>
        <w:spacing w:after="0" w:line="240" w:lineRule="auto"/>
        <w:rPr>
          <w:b/>
          <w:bCs/>
        </w:rPr>
      </w:pPr>
      <w:r>
        <w:rPr>
          <w:b/>
          <w:bCs/>
        </w:rPr>
        <w:t>2</w:t>
      </w:r>
      <w:r w:rsidR="00DD1360">
        <w:rPr>
          <w:b/>
          <w:bCs/>
        </w:rPr>
        <w:t>5</w:t>
      </w:r>
      <w:r w:rsidR="008E446B">
        <w:rPr>
          <w:b/>
          <w:bCs/>
        </w:rPr>
        <w:t>.</w:t>
      </w:r>
      <w:r w:rsidR="00517257">
        <w:rPr>
          <w:b/>
          <w:bCs/>
        </w:rPr>
        <w:t>03</w:t>
      </w:r>
      <w:r w:rsidR="00781F64">
        <w:rPr>
          <w:b/>
          <w:bCs/>
        </w:rPr>
        <w:t>.202</w:t>
      </w:r>
      <w:r w:rsidR="00517257">
        <w:rPr>
          <w:b/>
          <w:bCs/>
        </w:rPr>
        <w:t>4</w:t>
      </w:r>
      <w:r w:rsidR="00483948">
        <w:rPr>
          <w:b/>
          <w:bCs/>
        </w:rPr>
        <w:t>(</w:t>
      </w:r>
      <w:r w:rsidR="006C7F1C">
        <w:rPr>
          <w:b/>
          <w:bCs/>
        </w:rPr>
        <w:t>1</w:t>
      </w:r>
      <w:r w:rsidR="00483948">
        <w:rPr>
          <w:b/>
          <w:bCs/>
        </w:rPr>
        <w:t>)</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2440667A" w14:textId="521A66D8" w:rsidR="007E7693" w:rsidRDefault="006C7F1C" w:rsidP="004553FB">
      <w:pPr>
        <w:tabs>
          <w:tab w:val="left" w:pos="2160"/>
        </w:tabs>
        <w:spacing w:after="0" w:line="240" w:lineRule="auto"/>
        <w:jc w:val="both"/>
      </w:pPr>
      <w:r w:rsidRPr="006C7F1C">
        <w:t>Izmaiņas gaidīšanas rindu pārskatā, USG izmeklējumu lokalizācijām</w:t>
      </w:r>
    </w:p>
    <w:p w14:paraId="425EEE06" w14:textId="77777777" w:rsidR="006C7F1C" w:rsidRDefault="006C7F1C" w:rsidP="004553FB">
      <w:pPr>
        <w:tabs>
          <w:tab w:val="left" w:pos="2160"/>
        </w:tabs>
        <w:spacing w:after="0" w:line="240" w:lineRule="auto"/>
        <w:jc w:val="both"/>
      </w:pPr>
    </w:p>
    <w:p w14:paraId="68A5F952" w14:textId="77777777" w:rsidR="006C7F1C" w:rsidRDefault="006C1832" w:rsidP="006C7F1C">
      <w:pPr>
        <w:tabs>
          <w:tab w:val="left" w:pos="2160"/>
        </w:tabs>
        <w:spacing w:after="0" w:line="240" w:lineRule="auto"/>
        <w:jc w:val="both"/>
        <w:rPr>
          <w:rFonts w:ascii="Calibri" w:hAnsi="Calibri" w:cs="Calibri"/>
          <w:b/>
          <w:bCs/>
        </w:rPr>
      </w:pPr>
      <w:r w:rsidRPr="00B35283">
        <w:rPr>
          <w:rFonts w:ascii="Calibri" w:hAnsi="Calibri" w:cs="Calibri"/>
          <w:b/>
          <w:bCs/>
        </w:rPr>
        <w:t>E-pasta teksts</w:t>
      </w:r>
      <w:r w:rsidR="00A84BEF">
        <w:rPr>
          <w:rFonts w:ascii="Calibri" w:hAnsi="Calibri" w:cs="Calibri"/>
          <w:b/>
          <w:bCs/>
        </w:rPr>
        <w:t>:</w:t>
      </w:r>
    </w:p>
    <w:p w14:paraId="3FFB629E" w14:textId="6BC9CE65" w:rsidR="006C7F1C" w:rsidRPr="006C7F1C" w:rsidRDefault="006C7F1C" w:rsidP="006C7F1C">
      <w:pPr>
        <w:pStyle w:val="xelementtoproof"/>
        <w:jc w:val="both"/>
        <w:rPr>
          <w:rFonts w:asciiTheme="minorHAnsi" w:hAnsiTheme="minorHAnsi" w:cstheme="minorHAnsi"/>
          <w:sz w:val="22"/>
          <w:szCs w:val="22"/>
        </w:rPr>
      </w:pPr>
      <w:r w:rsidRPr="006C7F1C">
        <w:rPr>
          <w:rFonts w:asciiTheme="minorHAnsi" w:hAnsiTheme="minorHAnsi" w:cstheme="minorHAnsi"/>
          <w:color w:val="000000"/>
          <w:sz w:val="22"/>
          <w:szCs w:val="22"/>
        </w:rPr>
        <w:t xml:space="preserve">Nacionālais veselības dienests ir apkopojis iepriekš izsūtītās aptaujas rezultātus par ultrasonogrāfiju – kādām lokalizācijām un vecuma grupām pakalpojums tiek sniegts Jūsu ārstniecības iestādē par valsts budžeta līdzekļiem. Rezultātā tika precizētas USG izmeklējuma lokalizācijas, lai mērķtiecīgi varētu norādīt gaidīšanas rindas uz šiem pakalpojumiem. Līdz ar to kopīgotajās rindu pārskata veidlapās, gaidīšanas rindu pārskats dienās (pieejama šeit: </w:t>
      </w:r>
      <w:hyperlink r:id="rId10" w:history="1">
        <w:r w:rsidRPr="006C7F1C">
          <w:rPr>
            <w:rFonts w:asciiTheme="minorHAnsi" w:hAnsiTheme="minorHAnsi" w:cstheme="minorHAnsi"/>
            <w:noProof/>
            <w:color w:val="0000FF"/>
            <w:sz w:val="22"/>
            <w:szCs w:val="22"/>
            <w:shd w:val="clear" w:color="auto" w:fill="F3F2F1"/>
          </w:rPr>
          <w:drawing>
            <wp:inline distT="0" distB="0" distL="0" distR="0" wp14:anchorId="5CF867E6" wp14:editId="3B0C8EA9">
              <wp:extent cx="152400" cy="152400"/>
              <wp:effectExtent l="0" t="0" r="0" b="0"/>
              <wp:docPr id="7345296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C7F1C">
          <w:rPr>
            <w:rStyle w:val="SmartLink"/>
            <w:rFonts w:asciiTheme="minorHAnsi" w:hAnsiTheme="minorHAnsi" w:cstheme="minorHAnsi"/>
            <w:sz w:val="22"/>
            <w:szCs w:val="22"/>
          </w:rPr>
          <w:t>Gaidīšanas_rindas_pārskats_dienās.xlsx</w:t>
        </w:r>
      </w:hyperlink>
      <w:r w:rsidRPr="006C7F1C">
        <w:rPr>
          <w:rFonts w:asciiTheme="minorHAnsi" w:hAnsiTheme="minorHAnsi" w:cstheme="minorHAnsi"/>
          <w:color w:val="000000"/>
          <w:sz w:val="22"/>
          <w:szCs w:val="22"/>
        </w:rPr>
        <w:t xml:space="preserve">) un gaidīšanas rindu pārskats pacientu skaits (pieejams šeit: </w:t>
      </w:r>
      <w:hyperlink r:id="rId12" w:history="1">
        <w:r w:rsidRPr="006C7F1C">
          <w:rPr>
            <w:rFonts w:asciiTheme="minorHAnsi" w:hAnsiTheme="minorHAnsi" w:cstheme="minorHAnsi"/>
            <w:noProof/>
            <w:color w:val="0000FF"/>
            <w:sz w:val="22"/>
            <w:szCs w:val="22"/>
            <w:shd w:val="clear" w:color="auto" w:fill="F3F2F1"/>
          </w:rPr>
          <w:drawing>
            <wp:inline distT="0" distB="0" distL="0" distR="0" wp14:anchorId="40B6CDA1" wp14:editId="0330CF19">
              <wp:extent cx="152400" cy="152400"/>
              <wp:effectExtent l="0" t="0" r="0" b="0"/>
              <wp:docPr id="1432294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C7F1C">
          <w:rPr>
            <w:rStyle w:val="SmartLink"/>
            <w:rFonts w:asciiTheme="minorHAnsi" w:hAnsiTheme="minorHAnsi" w:cstheme="minorHAnsi"/>
            <w:sz w:val="22"/>
            <w:szCs w:val="22"/>
          </w:rPr>
          <w:t>Gaidīšanas_rindas_pārskats_pacientu_skaits.xlsx</w:t>
        </w:r>
      </w:hyperlink>
      <w:r w:rsidRPr="006C7F1C">
        <w:rPr>
          <w:rFonts w:asciiTheme="minorHAnsi" w:hAnsiTheme="minorHAnsi" w:cstheme="minorHAnsi"/>
          <w:color w:val="000000"/>
          <w:sz w:val="22"/>
          <w:szCs w:val="22"/>
        </w:rPr>
        <w:t>) ir veikti precizējumi sadaļās IZMEKLĒJUMI un PAKALPOJUMI BĒRNIEM.</w:t>
      </w:r>
    </w:p>
    <w:p w14:paraId="2A032C07" w14:textId="77777777" w:rsidR="006C7F1C" w:rsidRPr="006C7F1C" w:rsidRDefault="006C7F1C" w:rsidP="006C7F1C">
      <w:pPr>
        <w:pStyle w:val="xelementtoproof"/>
        <w:jc w:val="both"/>
        <w:rPr>
          <w:rFonts w:asciiTheme="minorHAnsi" w:hAnsiTheme="minorHAnsi" w:cstheme="minorHAnsi"/>
          <w:sz w:val="22"/>
          <w:szCs w:val="22"/>
        </w:rPr>
      </w:pPr>
      <w:r w:rsidRPr="006C7F1C">
        <w:rPr>
          <w:rFonts w:asciiTheme="minorHAnsi" w:hAnsiTheme="minorHAnsi" w:cstheme="minorHAnsi"/>
          <w:color w:val="242424"/>
          <w:sz w:val="22"/>
          <w:szCs w:val="22"/>
        </w:rPr>
        <w:t>Sadaļā IZMEKLĒJUMI izdalītas šādas USG lokalizācijas: </w:t>
      </w:r>
    </w:p>
    <w:p w14:paraId="56BCE035" w14:textId="77777777" w:rsidR="006C7F1C" w:rsidRPr="006C7F1C" w:rsidRDefault="006C7F1C" w:rsidP="006C7F1C">
      <w:pPr>
        <w:pStyle w:val="xelementtoproof"/>
        <w:ind w:left="720"/>
        <w:jc w:val="both"/>
        <w:rPr>
          <w:rFonts w:asciiTheme="minorHAnsi" w:hAnsiTheme="minorHAnsi" w:cstheme="minorHAnsi"/>
          <w:sz w:val="22"/>
          <w:szCs w:val="22"/>
        </w:rPr>
      </w:pPr>
      <w:r w:rsidRPr="006C7F1C">
        <w:rPr>
          <w:rFonts w:asciiTheme="minorHAnsi" w:hAnsiTheme="minorHAnsi" w:cstheme="minorHAnsi"/>
          <w:color w:val="242424"/>
          <w:sz w:val="22"/>
          <w:szCs w:val="22"/>
        </w:rPr>
        <w:t>·                USG krūšu (piena) dziedzeriem</w:t>
      </w:r>
    </w:p>
    <w:p w14:paraId="26F23F07" w14:textId="77777777" w:rsidR="006C7F1C" w:rsidRPr="006C7F1C" w:rsidRDefault="006C7F1C" w:rsidP="006C7F1C">
      <w:pPr>
        <w:pStyle w:val="xelementtoproof"/>
        <w:ind w:left="720"/>
        <w:jc w:val="both"/>
        <w:rPr>
          <w:rFonts w:asciiTheme="minorHAnsi" w:hAnsiTheme="minorHAnsi" w:cstheme="minorHAnsi"/>
          <w:sz w:val="22"/>
          <w:szCs w:val="22"/>
        </w:rPr>
      </w:pPr>
      <w:r w:rsidRPr="006C7F1C">
        <w:rPr>
          <w:rFonts w:asciiTheme="minorHAnsi" w:hAnsiTheme="minorHAnsi" w:cstheme="minorHAnsi"/>
          <w:color w:val="242424"/>
          <w:sz w:val="22"/>
          <w:szCs w:val="22"/>
        </w:rPr>
        <w:t>·                USG sieviešu mazā iegurņa orgāniem</w:t>
      </w:r>
    </w:p>
    <w:p w14:paraId="3668A6FE" w14:textId="77777777" w:rsidR="006C7F1C" w:rsidRPr="006C7F1C" w:rsidRDefault="006C7F1C" w:rsidP="006C7F1C">
      <w:pPr>
        <w:pStyle w:val="xelementtoproof"/>
        <w:ind w:left="720"/>
        <w:jc w:val="both"/>
        <w:rPr>
          <w:rFonts w:asciiTheme="minorHAnsi" w:hAnsiTheme="minorHAnsi" w:cstheme="minorHAnsi"/>
          <w:sz w:val="22"/>
          <w:szCs w:val="22"/>
        </w:rPr>
      </w:pPr>
      <w:r w:rsidRPr="006C7F1C">
        <w:rPr>
          <w:rFonts w:asciiTheme="minorHAnsi" w:hAnsiTheme="minorHAnsi" w:cstheme="minorHAnsi"/>
          <w:color w:val="242424"/>
          <w:sz w:val="22"/>
          <w:szCs w:val="22"/>
        </w:rPr>
        <w:t>·                USG vēdera dobuma orgāniem (tai skaitā nierēm un urīnceļiem</w:t>
      </w:r>
      <w:r w:rsidRPr="006C7F1C">
        <w:rPr>
          <w:rFonts w:asciiTheme="minorHAnsi" w:hAnsiTheme="minorHAnsi" w:cstheme="minorHAnsi"/>
          <w:color w:val="000000"/>
          <w:sz w:val="22"/>
          <w:szCs w:val="22"/>
        </w:rPr>
        <w:t>)</w:t>
      </w:r>
    </w:p>
    <w:p w14:paraId="67DB21A2" w14:textId="77777777" w:rsidR="006C7F1C" w:rsidRPr="006C7F1C" w:rsidRDefault="006C7F1C" w:rsidP="006C7F1C">
      <w:pPr>
        <w:pStyle w:val="xelementtoproof"/>
        <w:ind w:left="720"/>
        <w:jc w:val="both"/>
        <w:rPr>
          <w:rFonts w:asciiTheme="minorHAnsi" w:hAnsiTheme="minorHAnsi" w:cstheme="minorHAnsi"/>
          <w:sz w:val="22"/>
          <w:szCs w:val="22"/>
        </w:rPr>
      </w:pPr>
      <w:r w:rsidRPr="006C7F1C">
        <w:rPr>
          <w:rFonts w:asciiTheme="minorHAnsi" w:hAnsiTheme="minorHAnsi" w:cstheme="minorHAnsi"/>
          <w:color w:val="242424"/>
          <w:sz w:val="22"/>
          <w:szCs w:val="22"/>
        </w:rPr>
        <w:t>·                USG vairogdziedzerim</w:t>
      </w:r>
    </w:p>
    <w:p w14:paraId="5CA62901" w14:textId="77777777" w:rsidR="006C7F1C" w:rsidRPr="006C7F1C" w:rsidRDefault="006C7F1C" w:rsidP="006C7F1C">
      <w:pPr>
        <w:pStyle w:val="xelementtoproof"/>
        <w:ind w:left="720"/>
        <w:jc w:val="both"/>
        <w:rPr>
          <w:rFonts w:asciiTheme="minorHAnsi" w:hAnsiTheme="minorHAnsi" w:cstheme="minorHAnsi"/>
          <w:sz w:val="22"/>
          <w:szCs w:val="22"/>
        </w:rPr>
      </w:pPr>
      <w:r w:rsidRPr="006C7F1C">
        <w:rPr>
          <w:rFonts w:asciiTheme="minorHAnsi" w:hAnsiTheme="minorHAnsi" w:cstheme="minorHAnsi"/>
          <w:color w:val="000000"/>
          <w:sz w:val="22"/>
          <w:szCs w:val="22"/>
        </w:rPr>
        <w:t xml:space="preserve">·                </w:t>
      </w:r>
      <w:r w:rsidRPr="006C7F1C">
        <w:rPr>
          <w:rFonts w:asciiTheme="minorHAnsi" w:hAnsiTheme="minorHAnsi" w:cstheme="minorHAnsi"/>
          <w:color w:val="000000"/>
          <w:sz w:val="22"/>
          <w:szCs w:val="22"/>
          <w:shd w:val="clear" w:color="auto" w:fill="FFFFFF"/>
        </w:rPr>
        <w:t>USG saistaudiem, muskuļiem, cīpslām un locītavām</w:t>
      </w:r>
    </w:p>
    <w:p w14:paraId="6D7FED71" w14:textId="77777777" w:rsidR="006C7F1C" w:rsidRPr="006C7F1C" w:rsidRDefault="006C7F1C" w:rsidP="006C7F1C">
      <w:pPr>
        <w:pStyle w:val="xelementtoproof"/>
        <w:ind w:left="720"/>
        <w:jc w:val="both"/>
        <w:rPr>
          <w:rFonts w:asciiTheme="minorHAnsi" w:hAnsiTheme="minorHAnsi" w:cstheme="minorHAnsi"/>
          <w:sz w:val="22"/>
          <w:szCs w:val="22"/>
        </w:rPr>
      </w:pPr>
      <w:r w:rsidRPr="006C7F1C">
        <w:rPr>
          <w:rFonts w:asciiTheme="minorHAnsi" w:hAnsiTheme="minorHAnsi" w:cstheme="minorHAnsi"/>
          <w:color w:val="242424"/>
          <w:sz w:val="22"/>
          <w:szCs w:val="22"/>
        </w:rPr>
        <w:t xml:space="preserve">·                USG </w:t>
      </w:r>
      <w:proofErr w:type="spellStart"/>
      <w:r w:rsidRPr="006C7F1C">
        <w:rPr>
          <w:rFonts w:asciiTheme="minorHAnsi" w:hAnsiTheme="minorHAnsi" w:cstheme="minorHAnsi"/>
          <w:color w:val="242424"/>
          <w:sz w:val="22"/>
          <w:szCs w:val="22"/>
        </w:rPr>
        <w:t>prostatai</w:t>
      </w:r>
      <w:proofErr w:type="spellEnd"/>
      <w:r w:rsidRPr="006C7F1C">
        <w:rPr>
          <w:rFonts w:asciiTheme="minorHAnsi" w:hAnsiTheme="minorHAnsi" w:cstheme="minorHAnsi"/>
          <w:color w:val="242424"/>
          <w:sz w:val="22"/>
          <w:szCs w:val="22"/>
        </w:rPr>
        <w:t>; sēkliniekiem</w:t>
      </w:r>
    </w:p>
    <w:p w14:paraId="5FC4FF56" w14:textId="77777777" w:rsidR="006C7F1C" w:rsidRPr="006C7F1C" w:rsidRDefault="006C7F1C" w:rsidP="006C7F1C">
      <w:pPr>
        <w:pStyle w:val="xelementtoproof"/>
        <w:ind w:left="720"/>
        <w:jc w:val="both"/>
        <w:rPr>
          <w:rFonts w:asciiTheme="minorHAnsi" w:hAnsiTheme="minorHAnsi" w:cstheme="minorHAnsi"/>
          <w:sz w:val="22"/>
          <w:szCs w:val="22"/>
        </w:rPr>
      </w:pPr>
      <w:r w:rsidRPr="006C7F1C">
        <w:rPr>
          <w:rFonts w:asciiTheme="minorHAnsi" w:hAnsiTheme="minorHAnsi" w:cstheme="minorHAnsi"/>
          <w:color w:val="000000"/>
          <w:sz w:val="22"/>
          <w:szCs w:val="22"/>
        </w:rPr>
        <w:t xml:space="preserve">·                </w:t>
      </w:r>
      <w:r w:rsidRPr="006C7F1C">
        <w:rPr>
          <w:rFonts w:asciiTheme="minorHAnsi" w:hAnsiTheme="minorHAnsi" w:cstheme="minorHAnsi"/>
          <w:color w:val="000000"/>
          <w:sz w:val="22"/>
          <w:szCs w:val="22"/>
          <w:shd w:val="clear" w:color="auto" w:fill="FFFFFF"/>
        </w:rPr>
        <w:t>USG limfmezgliem un siekalu dziedzeriem</w:t>
      </w:r>
    </w:p>
    <w:p w14:paraId="238466AD" w14:textId="77777777" w:rsidR="006C7F1C" w:rsidRPr="006C7F1C" w:rsidRDefault="006C7F1C" w:rsidP="006C7F1C">
      <w:pPr>
        <w:pStyle w:val="xelementtoproof"/>
        <w:ind w:left="720"/>
        <w:jc w:val="both"/>
        <w:rPr>
          <w:rFonts w:asciiTheme="minorHAnsi" w:hAnsiTheme="minorHAnsi" w:cstheme="minorHAnsi"/>
          <w:sz w:val="22"/>
          <w:szCs w:val="22"/>
        </w:rPr>
      </w:pPr>
      <w:r w:rsidRPr="006C7F1C">
        <w:rPr>
          <w:rFonts w:asciiTheme="minorHAnsi" w:hAnsiTheme="minorHAnsi" w:cstheme="minorHAnsi"/>
          <w:color w:val="242424"/>
          <w:sz w:val="22"/>
          <w:szCs w:val="22"/>
        </w:rPr>
        <w:t xml:space="preserve">·                USG grūtniecēm augļu attīstības </w:t>
      </w:r>
      <w:proofErr w:type="spellStart"/>
      <w:r w:rsidRPr="006C7F1C">
        <w:rPr>
          <w:rFonts w:asciiTheme="minorHAnsi" w:hAnsiTheme="minorHAnsi" w:cstheme="minorHAnsi"/>
          <w:color w:val="242424"/>
          <w:sz w:val="22"/>
          <w:szCs w:val="22"/>
        </w:rPr>
        <w:t>skrīningā</w:t>
      </w:r>
      <w:proofErr w:type="spellEnd"/>
    </w:p>
    <w:p w14:paraId="2963CBEC" w14:textId="77777777" w:rsidR="006C7F1C" w:rsidRPr="006C7F1C" w:rsidRDefault="006C7F1C" w:rsidP="006C7F1C">
      <w:pPr>
        <w:pStyle w:val="xelementtoproof"/>
        <w:ind w:left="720"/>
        <w:jc w:val="both"/>
        <w:rPr>
          <w:rFonts w:asciiTheme="minorHAnsi" w:hAnsiTheme="minorHAnsi" w:cstheme="minorHAnsi"/>
          <w:sz w:val="22"/>
          <w:szCs w:val="22"/>
        </w:rPr>
      </w:pPr>
      <w:r w:rsidRPr="006C7F1C">
        <w:rPr>
          <w:rFonts w:asciiTheme="minorHAnsi" w:hAnsiTheme="minorHAnsi" w:cstheme="minorHAnsi"/>
          <w:color w:val="242424"/>
          <w:sz w:val="22"/>
          <w:szCs w:val="22"/>
        </w:rPr>
        <w:t>·                USG citām lokalizācijām</w:t>
      </w:r>
    </w:p>
    <w:p w14:paraId="7492E4BD" w14:textId="77777777" w:rsidR="006C7F1C" w:rsidRPr="006C7F1C" w:rsidRDefault="006C7F1C" w:rsidP="006C7F1C">
      <w:pPr>
        <w:pStyle w:val="xelementtoproof"/>
        <w:shd w:val="clear" w:color="auto" w:fill="FFFFFF"/>
        <w:jc w:val="both"/>
        <w:rPr>
          <w:rFonts w:asciiTheme="minorHAnsi" w:hAnsiTheme="minorHAnsi" w:cstheme="minorHAnsi"/>
          <w:sz w:val="22"/>
          <w:szCs w:val="22"/>
        </w:rPr>
      </w:pPr>
      <w:r w:rsidRPr="006C7F1C">
        <w:rPr>
          <w:rFonts w:asciiTheme="minorHAnsi" w:hAnsiTheme="minorHAnsi" w:cstheme="minorHAnsi"/>
          <w:color w:val="242424"/>
          <w:sz w:val="22"/>
          <w:szCs w:val="22"/>
        </w:rPr>
        <w:t>Sadaļā PAKALPOJUMI BĒRNIEM izdalītas šādas USG lokalizācijas:</w:t>
      </w:r>
    </w:p>
    <w:p w14:paraId="425E15DB" w14:textId="77777777" w:rsidR="006C7F1C" w:rsidRPr="006C7F1C" w:rsidRDefault="006C7F1C" w:rsidP="006C7F1C">
      <w:pPr>
        <w:pStyle w:val="xelementtoproof"/>
        <w:numPr>
          <w:ilvl w:val="0"/>
          <w:numId w:val="17"/>
        </w:numPr>
        <w:shd w:val="clear" w:color="auto" w:fill="FFFFFF"/>
        <w:jc w:val="both"/>
        <w:rPr>
          <w:rFonts w:asciiTheme="minorHAnsi" w:eastAsia="Times New Roman" w:hAnsiTheme="minorHAnsi" w:cstheme="minorHAnsi"/>
          <w:color w:val="000000"/>
          <w:sz w:val="22"/>
          <w:szCs w:val="22"/>
        </w:rPr>
      </w:pPr>
      <w:r w:rsidRPr="006C7F1C">
        <w:rPr>
          <w:rFonts w:asciiTheme="minorHAnsi" w:eastAsia="Times New Roman" w:hAnsiTheme="minorHAnsi" w:cstheme="minorHAnsi"/>
          <w:color w:val="000000"/>
          <w:sz w:val="22"/>
          <w:szCs w:val="22"/>
          <w:shd w:val="clear" w:color="auto" w:fill="FFFFFF"/>
        </w:rPr>
        <w:t>USG bērniem līdz 3 mēnešu vecumam</w:t>
      </w:r>
    </w:p>
    <w:p w14:paraId="2E793B51" w14:textId="77777777" w:rsidR="006C7F1C" w:rsidRPr="006C7F1C" w:rsidRDefault="006C7F1C" w:rsidP="006C7F1C">
      <w:pPr>
        <w:pStyle w:val="xelementtoproof"/>
        <w:numPr>
          <w:ilvl w:val="0"/>
          <w:numId w:val="17"/>
        </w:numPr>
        <w:jc w:val="both"/>
        <w:rPr>
          <w:rFonts w:asciiTheme="minorHAnsi" w:eastAsia="Times New Roman" w:hAnsiTheme="minorHAnsi" w:cstheme="minorHAnsi"/>
          <w:color w:val="000000"/>
          <w:sz w:val="22"/>
          <w:szCs w:val="22"/>
        </w:rPr>
      </w:pPr>
      <w:r w:rsidRPr="006C7F1C">
        <w:rPr>
          <w:rFonts w:asciiTheme="minorHAnsi" w:eastAsia="Times New Roman" w:hAnsiTheme="minorHAnsi" w:cstheme="minorHAnsi"/>
          <w:color w:val="000000"/>
          <w:sz w:val="22"/>
          <w:szCs w:val="22"/>
          <w:shd w:val="clear" w:color="auto" w:fill="FFFFFF"/>
        </w:rPr>
        <w:t>USG bērniem</w:t>
      </w:r>
    </w:p>
    <w:p w14:paraId="7BE55436" w14:textId="77777777" w:rsidR="006C7F1C" w:rsidRPr="006C7F1C" w:rsidRDefault="006C7F1C" w:rsidP="006C7F1C">
      <w:pPr>
        <w:pStyle w:val="xelementtoproof"/>
        <w:rPr>
          <w:rFonts w:asciiTheme="minorHAnsi" w:hAnsiTheme="minorHAnsi" w:cstheme="minorHAnsi"/>
          <w:sz w:val="22"/>
          <w:szCs w:val="22"/>
        </w:rPr>
      </w:pPr>
      <w:r w:rsidRPr="006C7F1C">
        <w:rPr>
          <w:rFonts w:asciiTheme="minorHAnsi" w:hAnsiTheme="minorHAnsi" w:cstheme="minorHAnsi"/>
          <w:color w:val="000000"/>
          <w:sz w:val="22"/>
          <w:szCs w:val="22"/>
        </w:rPr>
        <w:t>Rindu ziņošana par jaunajām USG lokalizācijām jāuzsāk ar 1. aprīli 2024. gadu.</w:t>
      </w:r>
    </w:p>
    <w:p w14:paraId="42F4F2BD" w14:textId="38CAF3D1" w:rsidR="006B1D0C" w:rsidRPr="006C7F1C" w:rsidRDefault="006B1D0C" w:rsidP="006C7F1C">
      <w:pPr>
        <w:tabs>
          <w:tab w:val="left" w:pos="2160"/>
        </w:tabs>
        <w:spacing w:after="0" w:line="240" w:lineRule="auto"/>
        <w:jc w:val="both"/>
        <w:rPr>
          <w:rFonts w:cstheme="minorHAnsi"/>
        </w:rPr>
      </w:pPr>
    </w:p>
    <w:sectPr w:rsidR="006B1D0C" w:rsidRPr="006C7F1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27CA6" w14:textId="77777777" w:rsidR="000D787C" w:rsidRDefault="000D787C" w:rsidP="00432099">
      <w:pPr>
        <w:spacing w:after="0" w:line="240" w:lineRule="auto"/>
      </w:pPr>
      <w:r>
        <w:separator/>
      </w:r>
    </w:p>
  </w:endnote>
  <w:endnote w:type="continuationSeparator" w:id="0">
    <w:p w14:paraId="3FA3907D" w14:textId="77777777" w:rsidR="000D787C" w:rsidRDefault="000D787C"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B1115" w14:textId="77777777" w:rsidR="000D787C" w:rsidRDefault="000D787C" w:rsidP="00432099">
      <w:pPr>
        <w:spacing w:after="0" w:line="240" w:lineRule="auto"/>
      </w:pPr>
      <w:r>
        <w:separator/>
      </w:r>
    </w:p>
  </w:footnote>
  <w:footnote w:type="continuationSeparator" w:id="0">
    <w:p w14:paraId="3EC0D0B2" w14:textId="77777777" w:rsidR="000D787C" w:rsidRDefault="000D787C"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3538A6"/>
    <w:multiLevelType w:val="multilevel"/>
    <w:tmpl w:val="F0DE2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7"/>
  </w:num>
  <w:num w:numId="2" w16cid:durableId="973632658">
    <w:abstractNumId w:val="8"/>
  </w:num>
  <w:num w:numId="3" w16cid:durableId="19998446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2"/>
  </w:num>
  <w:num w:numId="6" w16cid:durableId="759377296">
    <w:abstractNumId w:val="9"/>
  </w:num>
  <w:num w:numId="7" w16cid:durableId="1061056529">
    <w:abstractNumId w:val="12"/>
  </w:num>
  <w:num w:numId="8" w16cid:durableId="906765873">
    <w:abstractNumId w:val="9"/>
  </w:num>
  <w:num w:numId="9" w16cid:durableId="1830554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1"/>
  </w:num>
  <w:num w:numId="11" w16cid:durableId="712729688">
    <w:abstractNumId w:val="1"/>
  </w:num>
  <w:num w:numId="12" w16cid:durableId="1470633145">
    <w:abstractNumId w:val="0"/>
  </w:num>
  <w:num w:numId="13" w16cid:durableId="1086880382">
    <w:abstractNumId w:val="6"/>
  </w:num>
  <w:num w:numId="14" w16cid:durableId="1245067592">
    <w:abstractNumId w:val="3"/>
  </w:num>
  <w:num w:numId="15" w16cid:durableId="494955244">
    <w:abstractNumId w:val="10"/>
  </w:num>
  <w:num w:numId="16" w16cid:durableId="194585720">
    <w:abstractNumId w:val="5"/>
  </w:num>
  <w:num w:numId="17" w16cid:durableId="226697189">
    <w:abstractNumId w:val="4"/>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766E9"/>
    <w:rsid w:val="000A04C5"/>
    <w:rsid w:val="000C6255"/>
    <w:rsid w:val="000D787C"/>
    <w:rsid w:val="000E006C"/>
    <w:rsid w:val="000E0C29"/>
    <w:rsid w:val="00113401"/>
    <w:rsid w:val="00121F70"/>
    <w:rsid w:val="001338C1"/>
    <w:rsid w:val="00160935"/>
    <w:rsid w:val="00186157"/>
    <w:rsid w:val="001937A1"/>
    <w:rsid w:val="001D7A87"/>
    <w:rsid w:val="001E4A8F"/>
    <w:rsid w:val="00200300"/>
    <w:rsid w:val="002064CC"/>
    <w:rsid w:val="0020798F"/>
    <w:rsid w:val="00235B55"/>
    <w:rsid w:val="00241846"/>
    <w:rsid w:val="00246B66"/>
    <w:rsid w:val="002810F3"/>
    <w:rsid w:val="00296B91"/>
    <w:rsid w:val="002A1BD3"/>
    <w:rsid w:val="002A28D5"/>
    <w:rsid w:val="002A78D1"/>
    <w:rsid w:val="002B79E1"/>
    <w:rsid w:val="002C35F4"/>
    <w:rsid w:val="002C3ED2"/>
    <w:rsid w:val="00304FF4"/>
    <w:rsid w:val="003330A9"/>
    <w:rsid w:val="00351C6A"/>
    <w:rsid w:val="003562AB"/>
    <w:rsid w:val="00376890"/>
    <w:rsid w:val="003E3B83"/>
    <w:rsid w:val="00416FA7"/>
    <w:rsid w:val="00432099"/>
    <w:rsid w:val="004347A9"/>
    <w:rsid w:val="00434C29"/>
    <w:rsid w:val="00443DA9"/>
    <w:rsid w:val="004553FB"/>
    <w:rsid w:val="00475AE7"/>
    <w:rsid w:val="00483948"/>
    <w:rsid w:val="004B3295"/>
    <w:rsid w:val="004E2EB3"/>
    <w:rsid w:val="00517257"/>
    <w:rsid w:val="0053535D"/>
    <w:rsid w:val="005433A7"/>
    <w:rsid w:val="005433E1"/>
    <w:rsid w:val="00567102"/>
    <w:rsid w:val="00574CB8"/>
    <w:rsid w:val="0057757D"/>
    <w:rsid w:val="00580F1D"/>
    <w:rsid w:val="00581CFD"/>
    <w:rsid w:val="00583353"/>
    <w:rsid w:val="005D303E"/>
    <w:rsid w:val="005E1357"/>
    <w:rsid w:val="00604DF3"/>
    <w:rsid w:val="0060737F"/>
    <w:rsid w:val="006327AF"/>
    <w:rsid w:val="0063555E"/>
    <w:rsid w:val="00644BCB"/>
    <w:rsid w:val="006474D4"/>
    <w:rsid w:val="00650EC2"/>
    <w:rsid w:val="006679DD"/>
    <w:rsid w:val="006721D1"/>
    <w:rsid w:val="00674B5A"/>
    <w:rsid w:val="00680452"/>
    <w:rsid w:val="006A49D1"/>
    <w:rsid w:val="006B1D0C"/>
    <w:rsid w:val="006C1832"/>
    <w:rsid w:val="006C7F1C"/>
    <w:rsid w:val="006E1BC3"/>
    <w:rsid w:val="006F0283"/>
    <w:rsid w:val="006F0546"/>
    <w:rsid w:val="006F60DD"/>
    <w:rsid w:val="006F789E"/>
    <w:rsid w:val="00700423"/>
    <w:rsid w:val="00706C7B"/>
    <w:rsid w:val="00713D3E"/>
    <w:rsid w:val="007675A4"/>
    <w:rsid w:val="00781F64"/>
    <w:rsid w:val="007D2C47"/>
    <w:rsid w:val="007E6578"/>
    <w:rsid w:val="007E7693"/>
    <w:rsid w:val="00815F02"/>
    <w:rsid w:val="0087549F"/>
    <w:rsid w:val="008907E0"/>
    <w:rsid w:val="008A1775"/>
    <w:rsid w:val="008D2276"/>
    <w:rsid w:val="008E19D1"/>
    <w:rsid w:val="008E446B"/>
    <w:rsid w:val="008F27F4"/>
    <w:rsid w:val="009120DD"/>
    <w:rsid w:val="00923F48"/>
    <w:rsid w:val="009433A3"/>
    <w:rsid w:val="00966793"/>
    <w:rsid w:val="009A1519"/>
    <w:rsid w:val="009A4DF4"/>
    <w:rsid w:val="009A68F4"/>
    <w:rsid w:val="009A7763"/>
    <w:rsid w:val="009D6094"/>
    <w:rsid w:val="009E5C46"/>
    <w:rsid w:val="00A12D67"/>
    <w:rsid w:val="00A471E6"/>
    <w:rsid w:val="00A80153"/>
    <w:rsid w:val="00A80200"/>
    <w:rsid w:val="00A84BEF"/>
    <w:rsid w:val="00AE4F9D"/>
    <w:rsid w:val="00AF6417"/>
    <w:rsid w:val="00B33DF3"/>
    <w:rsid w:val="00B35283"/>
    <w:rsid w:val="00B40BBD"/>
    <w:rsid w:val="00B579ED"/>
    <w:rsid w:val="00B76FD0"/>
    <w:rsid w:val="00B85F52"/>
    <w:rsid w:val="00BA052E"/>
    <w:rsid w:val="00BB2ADF"/>
    <w:rsid w:val="00BC1BDC"/>
    <w:rsid w:val="00BC7B87"/>
    <w:rsid w:val="00BF4208"/>
    <w:rsid w:val="00C836B9"/>
    <w:rsid w:val="00CE655F"/>
    <w:rsid w:val="00CF744E"/>
    <w:rsid w:val="00D112B0"/>
    <w:rsid w:val="00D37F57"/>
    <w:rsid w:val="00D459AA"/>
    <w:rsid w:val="00D61774"/>
    <w:rsid w:val="00D835B3"/>
    <w:rsid w:val="00DA151C"/>
    <w:rsid w:val="00DA1C30"/>
    <w:rsid w:val="00DA4DC7"/>
    <w:rsid w:val="00DB0D93"/>
    <w:rsid w:val="00DD1360"/>
    <w:rsid w:val="00DE539D"/>
    <w:rsid w:val="00E56A81"/>
    <w:rsid w:val="00E95059"/>
    <w:rsid w:val="00EA0D65"/>
    <w:rsid w:val="00EA6230"/>
    <w:rsid w:val="00EC2A53"/>
    <w:rsid w:val="00F27E1C"/>
    <w:rsid w:val="00F30A90"/>
    <w:rsid w:val="00F420AA"/>
    <w:rsid w:val="00F51696"/>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 w:type="paragraph" w:customStyle="1" w:styleId="xelementtoproof">
    <w:name w:val="x_elementtoproof"/>
    <w:basedOn w:val="Normal"/>
    <w:rsid w:val="006C7F1C"/>
    <w:pPr>
      <w:spacing w:after="0" w:line="240" w:lineRule="auto"/>
    </w:pPr>
    <w:rPr>
      <w:rFonts w:ascii="Aptos" w:hAnsi="Aptos" w:cs="Aptos"/>
      <w:sz w:val="24"/>
      <w:szCs w:val="24"/>
      <w:lang w:eastAsia="lv-LV"/>
    </w:rPr>
  </w:style>
  <w:style w:type="character" w:customStyle="1" w:styleId="xentity">
    <w:name w:val="x_entity"/>
    <w:basedOn w:val="DefaultParagraphFont"/>
    <w:rsid w:val="006C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3870194">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4655500">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4654310">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38763090">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2011833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2126109">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19493174">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179789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eselibasministrija-my.sharepoint.com/:x:/g/personal/linda_celmina-keze_vmnvd_gov_lv/EUQWNIHPXJVIp_bik1pI3skBTdXikVpgJyZdz2QpoUJrUw?e=8qHPf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veselibasministrija-my.sharepoint.com/:x:/g/personal/linda_celmina-keze_vmnvd_gov_lv/ESvNvznhEExKspOn3SANB2kBhm5Qxa-A4G1uYu82sPJsn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49736-7D00-48F9-8005-6D6497B54B0B}">
  <ds:schemaRefs>
    <ds:schemaRef ds:uri="http://schemas.microsoft.com/sharepoint/v3/contenttype/forms"/>
  </ds:schemaRefs>
</ds:datastoreItem>
</file>

<file path=customXml/itemProps2.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1167</Words>
  <Characters>666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2024-04-03T10:36:00Z</dcterms:created>
  <dcterms:modified xsi:type="dcterms:W3CDTF">2024-04-04T09:50:00Z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