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3274690F" w:rsidR="00AD05A0" w:rsidRPr="00846FBE" w:rsidRDefault="00B01129" w:rsidP="00F20959">
      <w:pPr>
        <w:ind w:right="-1"/>
        <w:jc w:val="right"/>
        <w:rPr>
          <w:i/>
          <w:sz w:val="24"/>
          <w:szCs w:val="24"/>
        </w:rPr>
      </w:pPr>
      <w:r>
        <w:rPr>
          <w:i/>
          <w:sz w:val="24"/>
          <w:szCs w:val="24"/>
        </w:rPr>
        <w:t>2</w:t>
      </w:r>
      <w:r w:rsidR="00AD05A0" w:rsidRPr="00846FBE">
        <w:rPr>
          <w:i/>
          <w:sz w:val="24"/>
          <w:szCs w:val="24"/>
        </w:rPr>
        <w:t>.pielikums</w:t>
      </w:r>
    </w:p>
    <w:p w14:paraId="3E4662C4" w14:textId="2E02C46B" w:rsidR="00387259" w:rsidRPr="00387259" w:rsidRDefault="00B77BC6" w:rsidP="00387259">
      <w:pPr>
        <w:jc w:val="right"/>
        <w:rPr>
          <w:i/>
          <w:sz w:val="24"/>
          <w:szCs w:val="24"/>
        </w:rPr>
      </w:pPr>
      <w:r w:rsidRPr="00387259">
        <w:rPr>
          <w:i/>
          <w:sz w:val="24"/>
          <w:szCs w:val="24"/>
        </w:rPr>
        <w:t xml:space="preserve">līgumam </w:t>
      </w:r>
      <w:r w:rsidR="00387259" w:rsidRPr="00387259">
        <w:rPr>
          <w:i/>
          <w:sz w:val="24"/>
          <w:szCs w:val="24"/>
        </w:rPr>
        <w:t xml:space="preserve">par </w:t>
      </w:r>
      <w:r w:rsidR="00BA7098">
        <w:rPr>
          <w:i/>
          <w:sz w:val="24"/>
          <w:szCs w:val="24"/>
        </w:rPr>
        <w:t>primārās veselības aprūpes pakalpojumu</w:t>
      </w:r>
    </w:p>
    <w:p w14:paraId="7419AB42" w14:textId="3B35FAEA" w:rsidR="00B77BC6" w:rsidRPr="00387259" w:rsidRDefault="00B77BC6" w:rsidP="00387259">
      <w:pPr>
        <w:jc w:val="right"/>
        <w:rPr>
          <w:i/>
          <w:sz w:val="24"/>
          <w:szCs w:val="24"/>
        </w:rPr>
      </w:pPr>
      <w:r w:rsidRPr="00387259">
        <w:rPr>
          <w:i/>
          <w:sz w:val="24"/>
          <w:szCs w:val="24"/>
        </w:rPr>
        <w:t>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43D0E8C2"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AA4AE9">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3DDB7D0B"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w:t>
      </w:r>
      <w:proofErr w:type="spellStart"/>
      <w:r w:rsidRPr="00846FBE">
        <w:t>rakstveidā</w:t>
      </w:r>
      <w:proofErr w:type="spellEnd"/>
      <w:r w:rsidRPr="00846FBE">
        <w:t xml:space="preserve">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C72DE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23B8"/>
    <w:rsid w:val="001F6088"/>
    <w:rsid w:val="002030AD"/>
    <w:rsid w:val="00226293"/>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87259"/>
    <w:rsid w:val="00391ECA"/>
    <w:rsid w:val="003941C7"/>
    <w:rsid w:val="003A1977"/>
    <w:rsid w:val="003A3936"/>
    <w:rsid w:val="003A7A80"/>
    <w:rsid w:val="003B32EB"/>
    <w:rsid w:val="003B58DF"/>
    <w:rsid w:val="003C4F0E"/>
    <w:rsid w:val="003E3FF6"/>
    <w:rsid w:val="003E7FFA"/>
    <w:rsid w:val="003F613A"/>
    <w:rsid w:val="003F7C64"/>
    <w:rsid w:val="004115ED"/>
    <w:rsid w:val="004246F8"/>
    <w:rsid w:val="004359CB"/>
    <w:rsid w:val="004404D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17ABA"/>
    <w:rsid w:val="00535C4C"/>
    <w:rsid w:val="00542FB9"/>
    <w:rsid w:val="00552900"/>
    <w:rsid w:val="00554F21"/>
    <w:rsid w:val="00564700"/>
    <w:rsid w:val="00571C88"/>
    <w:rsid w:val="00575607"/>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39A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9F4A46"/>
    <w:rsid w:val="00A010AA"/>
    <w:rsid w:val="00A0388F"/>
    <w:rsid w:val="00A056EE"/>
    <w:rsid w:val="00A1402E"/>
    <w:rsid w:val="00A20E10"/>
    <w:rsid w:val="00A22BBD"/>
    <w:rsid w:val="00A30516"/>
    <w:rsid w:val="00A350E1"/>
    <w:rsid w:val="00A40DDB"/>
    <w:rsid w:val="00A42202"/>
    <w:rsid w:val="00A62A04"/>
    <w:rsid w:val="00A636D2"/>
    <w:rsid w:val="00A64C69"/>
    <w:rsid w:val="00A73567"/>
    <w:rsid w:val="00A9798F"/>
    <w:rsid w:val="00AA43AA"/>
    <w:rsid w:val="00AA4AE9"/>
    <w:rsid w:val="00AA65D3"/>
    <w:rsid w:val="00AC0B5A"/>
    <w:rsid w:val="00AD05A0"/>
    <w:rsid w:val="00AD76DE"/>
    <w:rsid w:val="00AE4853"/>
    <w:rsid w:val="00AE7589"/>
    <w:rsid w:val="00B01129"/>
    <w:rsid w:val="00B03885"/>
    <w:rsid w:val="00B147A9"/>
    <w:rsid w:val="00B204C7"/>
    <w:rsid w:val="00B23BF2"/>
    <w:rsid w:val="00B3529A"/>
    <w:rsid w:val="00B42CA9"/>
    <w:rsid w:val="00B52596"/>
    <w:rsid w:val="00B53F6D"/>
    <w:rsid w:val="00B67C4C"/>
    <w:rsid w:val="00B77BC6"/>
    <w:rsid w:val="00B802C3"/>
    <w:rsid w:val="00B8255E"/>
    <w:rsid w:val="00B84390"/>
    <w:rsid w:val="00B860EE"/>
    <w:rsid w:val="00BA6D14"/>
    <w:rsid w:val="00BA7098"/>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72DEB"/>
    <w:rsid w:val="00C80F92"/>
    <w:rsid w:val="00C91549"/>
    <w:rsid w:val="00C9551B"/>
    <w:rsid w:val="00CA1198"/>
    <w:rsid w:val="00CA2F3E"/>
    <w:rsid w:val="00CC0768"/>
    <w:rsid w:val="00CC449D"/>
    <w:rsid w:val="00CD5647"/>
    <w:rsid w:val="00CE1557"/>
    <w:rsid w:val="00CF1AF5"/>
    <w:rsid w:val="00D0401D"/>
    <w:rsid w:val="00D050B2"/>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2F2"/>
    <w:rsid w:val="00EC2B0F"/>
    <w:rsid w:val="00EC512C"/>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6856</Words>
  <Characters>3909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10</cp:revision>
  <cp:lastPrinted>2019-01-29T10:22:00Z</cp:lastPrinted>
  <dcterms:created xsi:type="dcterms:W3CDTF">2024-03-04T08:12:00Z</dcterms:created>
  <dcterms:modified xsi:type="dcterms:W3CDTF">2024-05-08T05:18:00Z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