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F9931E" w14:textId="6B2B40D4" w:rsidR="006F6367" w:rsidRPr="00A32602" w:rsidRDefault="004B0A27" w:rsidP="006F6367">
      <w:pPr>
        <w:rPr>
          <w:rFonts w:ascii="Calibri" w:hAnsi="Calibri" w:cs="Calibri"/>
          <w:b/>
          <w:bCs/>
        </w:rPr>
      </w:pPr>
      <w:r>
        <w:rPr>
          <w:rFonts w:ascii="Calibri" w:hAnsi="Calibri" w:cs="Calibri"/>
          <w:b/>
          <w:bCs/>
        </w:rPr>
        <w:t>02.07</w:t>
      </w:r>
      <w:r w:rsidR="006F6367" w:rsidRPr="00A32602">
        <w:rPr>
          <w:rFonts w:ascii="Calibri" w:hAnsi="Calibri" w:cs="Calibri"/>
          <w:b/>
          <w:bCs/>
        </w:rPr>
        <w:t>.2024.</w:t>
      </w:r>
    </w:p>
    <w:p w14:paraId="391764BB" w14:textId="348DC967" w:rsidR="00380EC9" w:rsidRPr="00A32602" w:rsidRDefault="006F6367" w:rsidP="006F6367">
      <w:pPr>
        <w:rPr>
          <w:rFonts w:ascii="Calibri" w:hAnsi="Calibri" w:cs="Calibri"/>
          <w:b/>
          <w:bCs/>
        </w:rPr>
      </w:pPr>
      <w:r w:rsidRPr="00A32602">
        <w:rPr>
          <w:rFonts w:ascii="Calibri" w:hAnsi="Calibri" w:cs="Calibri"/>
          <w:b/>
          <w:bCs/>
        </w:rPr>
        <w:t>E-pasta nosaukums</w:t>
      </w:r>
    </w:p>
    <w:p w14:paraId="51BBEDE7" w14:textId="7A04EF63" w:rsidR="004B0A27" w:rsidRPr="00047BB0" w:rsidRDefault="00047BB0" w:rsidP="00047BB0">
      <w:r>
        <w:t>Par rindām uz valsts apmaksātajiem pakalpojumiem</w:t>
      </w:r>
      <w:r>
        <w:t xml:space="preserve"> </w:t>
      </w:r>
      <w:r w:rsidR="004B0A27">
        <w:t>(</w:t>
      </w:r>
      <w:r>
        <w:t xml:space="preserve">SAVA </w:t>
      </w:r>
      <w:r w:rsidR="004B0A27">
        <w:t>ārstniecības iestādēm, ārstu praksēm)</w:t>
      </w:r>
    </w:p>
    <w:p w14:paraId="5B565FF5" w14:textId="77777777" w:rsidR="001F6BAC" w:rsidRDefault="001F6BAC" w:rsidP="006F6367">
      <w:pPr>
        <w:rPr>
          <w:rFonts w:ascii="Calibri" w:hAnsi="Calibri" w:cs="Calibri"/>
        </w:rPr>
      </w:pPr>
    </w:p>
    <w:p w14:paraId="55C30819" w14:textId="5E3611D1" w:rsidR="006F6367" w:rsidRPr="00A32602" w:rsidRDefault="006F6367" w:rsidP="006F6367">
      <w:pPr>
        <w:rPr>
          <w:rFonts w:ascii="Calibri" w:hAnsi="Calibri" w:cs="Calibri"/>
          <w:b/>
          <w:bCs/>
        </w:rPr>
      </w:pPr>
      <w:r w:rsidRPr="00A32602">
        <w:rPr>
          <w:rFonts w:ascii="Calibri" w:hAnsi="Calibri" w:cs="Calibri"/>
          <w:b/>
          <w:bCs/>
        </w:rPr>
        <w:t>E-pasta teksts</w:t>
      </w:r>
    </w:p>
    <w:p w14:paraId="7A75040B" w14:textId="10208511" w:rsidR="004B0A27" w:rsidRDefault="004B0A27" w:rsidP="004B0A27">
      <w:pPr>
        <w:jc w:val="both"/>
        <w:rPr>
          <w:rFonts w:cs="Calibri"/>
        </w:rPr>
      </w:pPr>
    </w:p>
    <w:p w14:paraId="2F4E4867" w14:textId="77777777" w:rsidR="00047BB0" w:rsidRDefault="00047BB0" w:rsidP="00047BB0">
      <w:pPr>
        <w:autoSpaceDE w:val="0"/>
        <w:autoSpaceDN w:val="0"/>
        <w:jc w:val="both"/>
      </w:pPr>
      <w:r>
        <w:t xml:space="preserve">Nacionālais veselības dienests (turpmāk - Dienests) pēdējo nedēļu laikā aizvien biežāk saņem iedzīvotāju sūdzības par pieraksta atcelšanu uz valsts apmaksātajiem pakalpojumiem, kā par </w:t>
      </w:r>
      <w:hyperlink r:id="rId5" w:history="1">
        <w:r>
          <w:rPr>
            <w:rStyle w:val="Hyperlink"/>
          </w:rPr>
          <w:t>http://www.rindapiearsta.lv/lv/mekle_isako</w:t>
        </w:r>
      </w:hyperlink>
      <w:r>
        <w:t xml:space="preserve"> norādītās rindas neatbilstību faktiskajai situācijai.</w:t>
      </w:r>
    </w:p>
    <w:p w14:paraId="693C5A8D" w14:textId="77777777" w:rsidR="00047BB0" w:rsidRDefault="00047BB0" w:rsidP="00047BB0">
      <w:pPr>
        <w:autoSpaceDE w:val="0"/>
        <w:autoSpaceDN w:val="0"/>
        <w:ind w:firstLine="567"/>
        <w:jc w:val="both"/>
      </w:pPr>
    </w:p>
    <w:p w14:paraId="4B6AC9D5" w14:textId="77777777" w:rsidR="00047BB0" w:rsidRDefault="00047BB0" w:rsidP="00047BB0">
      <w:pPr>
        <w:autoSpaceDE w:val="0"/>
        <w:autoSpaceDN w:val="0"/>
        <w:jc w:val="both"/>
      </w:pPr>
      <w:r>
        <w:t>Dienests atgādina, ka ārstniecības iestādei jāplāno veselības aprūpes pakalpojumu sniegšanas nodrošinājumu atbilstoši Finanšu paziņojumā norādītajam pakalpojumu finansējumam pa mēnešiem un ārstniecības iestādes kapacitātei, ņemot vērā to sezonalitāti un nepieciešamību nodrošināt pacientiem veselības aprūpes pakalpojumu pieejamību kalendārā gada laikā kalendārajam gadam noteiktās summas ietvaros. </w:t>
      </w:r>
    </w:p>
    <w:p w14:paraId="5ACDDED2" w14:textId="77777777" w:rsidR="00047BB0" w:rsidRDefault="00047BB0" w:rsidP="00047BB0">
      <w:pPr>
        <w:autoSpaceDE w:val="0"/>
        <w:autoSpaceDN w:val="0"/>
        <w:jc w:val="both"/>
      </w:pPr>
    </w:p>
    <w:p w14:paraId="26EA1474" w14:textId="77777777" w:rsidR="00047BB0" w:rsidRDefault="00047BB0" w:rsidP="00047BB0">
      <w:pPr>
        <w:autoSpaceDE w:val="0"/>
        <w:autoSpaceDN w:val="0"/>
        <w:jc w:val="both"/>
        <w:rPr>
          <w:color w:val="000000"/>
        </w:rPr>
      </w:pPr>
      <w:r>
        <w:t>P</w:t>
      </w:r>
      <w:r>
        <w:rPr>
          <w:color w:val="000000"/>
        </w:rPr>
        <w:t>ersonas pierakstu uz valsts apmaksātu veselības aprūpes pakalpojumu jāveic, ja ir pieejama informācija par ārstniecības personas izsniegtu nosūtījumu, izņemot normatīvos aktos noteiktos izņēmuma gadījumos – pie ģimenes ārsta, t.sk. dežūrārsta, tiešās pieejamības speciālistiem.</w:t>
      </w:r>
    </w:p>
    <w:p w14:paraId="7D1F6AC6" w14:textId="77777777" w:rsidR="00047BB0" w:rsidRDefault="00047BB0" w:rsidP="00047BB0">
      <w:pPr>
        <w:autoSpaceDE w:val="0"/>
        <w:autoSpaceDN w:val="0"/>
        <w:jc w:val="both"/>
        <w:rPr>
          <w:color w:val="000000"/>
        </w:rPr>
      </w:pPr>
    </w:p>
    <w:p w14:paraId="39501675" w14:textId="77777777" w:rsidR="00047BB0" w:rsidRDefault="00047BB0" w:rsidP="00047BB0">
      <w:pPr>
        <w:autoSpaceDE w:val="0"/>
        <w:autoSpaceDN w:val="0"/>
        <w:jc w:val="both"/>
      </w:pPr>
      <w:r>
        <w:rPr>
          <w:color w:val="000000"/>
        </w:rPr>
        <w:t>Ārstniecības iestādei jā</w:t>
      </w:r>
      <w:r>
        <w:t>ievēro šādu rindu veidošanas kārtību, ja Līgumā noteiktā plānveida veselības aprūpes pakalpojuma sniegšanu personai nav iespējams nodrošināt uzreiz:</w:t>
      </w:r>
    </w:p>
    <w:p w14:paraId="507A48F7" w14:textId="77777777" w:rsidR="00047BB0" w:rsidRDefault="00047BB0" w:rsidP="00047BB0">
      <w:pPr>
        <w:pStyle w:val="ListParagraph"/>
        <w:numPr>
          <w:ilvl w:val="0"/>
          <w:numId w:val="3"/>
        </w:numPr>
        <w:spacing w:after="0" w:line="240" w:lineRule="auto"/>
        <w:jc w:val="both"/>
        <w:rPr>
          <w:rFonts w:eastAsia="Times New Roman"/>
          <w:sz w:val="24"/>
          <w:szCs w:val="24"/>
        </w:rPr>
      </w:pPr>
      <w:r>
        <w:rPr>
          <w:rFonts w:eastAsia="Times New Roman"/>
          <w:sz w:val="24"/>
          <w:szCs w:val="24"/>
        </w:rPr>
        <w:t>veido vienotu rindu, nedalot to atsevišķi pa mēnešiem, un reģistrē to atsevišķā papīra formāta vai elektroniskā žurnālā; </w:t>
      </w:r>
    </w:p>
    <w:p w14:paraId="7E4E09FD" w14:textId="77777777" w:rsidR="00047BB0" w:rsidRDefault="00047BB0" w:rsidP="00047BB0">
      <w:pPr>
        <w:pStyle w:val="ListParagraph"/>
        <w:numPr>
          <w:ilvl w:val="0"/>
          <w:numId w:val="3"/>
        </w:numPr>
        <w:spacing w:after="0" w:line="240" w:lineRule="auto"/>
        <w:jc w:val="both"/>
        <w:rPr>
          <w:rFonts w:eastAsia="Times New Roman"/>
          <w:sz w:val="24"/>
          <w:szCs w:val="24"/>
        </w:rPr>
      </w:pPr>
      <w:r>
        <w:rPr>
          <w:rFonts w:eastAsia="Times New Roman"/>
          <w:sz w:val="24"/>
          <w:szCs w:val="24"/>
        </w:rPr>
        <w:t>prioritāri informē personu par iespēju saņemt valsts apmaksātu veselības aprūpes pakalpojumu, norādot tuvāko iespējamo personas vēlmēm un nepieciešamā pakalpojuma steidzamībai atbilstošāko veselības aprūpes pakalpojuma saņemšanas datumu un laiku, kā arī pēc pieprasījuma informē personu par kopējo rindas garumu; </w:t>
      </w:r>
    </w:p>
    <w:p w14:paraId="12E21C15" w14:textId="77777777" w:rsidR="00047BB0" w:rsidRDefault="00047BB0" w:rsidP="00047BB0">
      <w:pPr>
        <w:pStyle w:val="ListParagraph"/>
        <w:numPr>
          <w:ilvl w:val="0"/>
          <w:numId w:val="3"/>
        </w:numPr>
        <w:spacing w:after="0" w:line="240" w:lineRule="auto"/>
        <w:jc w:val="both"/>
        <w:rPr>
          <w:rFonts w:eastAsia="Times New Roman"/>
          <w:sz w:val="24"/>
          <w:szCs w:val="24"/>
        </w:rPr>
      </w:pPr>
      <w:r>
        <w:rPr>
          <w:rFonts w:eastAsia="Times New Roman"/>
          <w:sz w:val="24"/>
          <w:szCs w:val="24"/>
        </w:rPr>
        <w:t>nodrošina personai iespēju pieteikties pakalpojuma saņemšanai neatkarīgi no pieraksta brīža, rezervējot konkrētu pakalpojuma saņemšanas datumu un laiku, par to informē personu;  </w:t>
      </w:r>
    </w:p>
    <w:p w14:paraId="075C1E22" w14:textId="77777777" w:rsidR="00047BB0" w:rsidRDefault="00047BB0" w:rsidP="00047BB0">
      <w:pPr>
        <w:pStyle w:val="ListParagraph"/>
        <w:numPr>
          <w:ilvl w:val="0"/>
          <w:numId w:val="3"/>
        </w:numPr>
        <w:spacing w:after="0" w:line="240" w:lineRule="auto"/>
        <w:jc w:val="both"/>
        <w:rPr>
          <w:rFonts w:eastAsia="Times New Roman"/>
          <w:sz w:val="24"/>
          <w:szCs w:val="24"/>
        </w:rPr>
      </w:pPr>
      <w:r>
        <w:rPr>
          <w:rFonts w:eastAsia="Times New Roman"/>
          <w:sz w:val="24"/>
          <w:szCs w:val="24"/>
        </w:rPr>
        <w:t>ja rinda pakalpojuma saņemšanai ir garāka par 6 (sešiem) mēnešiem, ārstniecības iestāde personai norāda aptuveno pakalpojuma saņemšanas datumu un vismaz mēnesi pirms pakalpojuma saņemšanas plānotā laika informē personu par konkrētu pakalpojuma saņemšanas datumu un laiku; </w:t>
      </w:r>
    </w:p>
    <w:p w14:paraId="73FCC348" w14:textId="77777777" w:rsidR="00047BB0" w:rsidRDefault="00047BB0" w:rsidP="00047BB0">
      <w:pPr>
        <w:pStyle w:val="ListParagraph"/>
        <w:numPr>
          <w:ilvl w:val="0"/>
          <w:numId w:val="3"/>
        </w:numPr>
        <w:spacing w:after="0" w:line="240" w:lineRule="auto"/>
        <w:jc w:val="both"/>
        <w:rPr>
          <w:rFonts w:eastAsia="Times New Roman"/>
          <w:sz w:val="24"/>
          <w:szCs w:val="24"/>
        </w:rPr>
      </w:pPr>
      <w:r>
        <w:rPr>
          <w:rFonts w:eastAsia="Times New Roman"/>
          <w:sz w:val="24"/>
          <w:szCs w:val="24"/>
        </w:rPr>
        <w:t>individuāli informē pacientu ne vēlāk kā 1 (vienu) dienu iepriekš par gadījumu, ja pieraksts tiek atcelts, piedāvājot iespēju saņemt valsts apmaksātu veselības aprūpes pakalpojumu citā tuvākajā iespējamajā laikā;  </w:t>
      </w:r>
    </w:p>
    <w:p w14:paraId="42DCA58E" w14:textId="77777777" w:rsidR="00047BB0" w:rsidRDefault="00047BB0" w:rsidP="00047BB0">
      <w:pPr>
        <w:pStyle w:val="ListParagraph"/>
        <w:numPr>
          <w:ilvl w:val="0"/>
          <w:numId w:val="3"/>
        </w:numPr>
        <w:spacing w:after="0" w:line="240" w:lineRule="auto"/>
        <w:jc w:val="both"/>
        <w:rPr>
          <w:rFonts w:eastAsia="Times New Roman"/>
          <w:sz w:val="24"/>
          <w:szCs w:val="24"/>
        </w:rPr>
      </w:pPr>
      <w:r>
        <w:rPr>
          <w:rFonts w:eastAsia="Times New Roman"/>
          <w:sz w:val="24"/>
          <w:szCs w:val="24"/>
        </w:rPr>
        <w:lastRenderedPageBreak/>
        <w:t>ja rinda pakalpojuma saņemšanai ir garāka par 2 (diviem) mēnešiem, ne vēlāk kā 2 (divas) darba dienas pirms pakalpojuma saņemšanas datuma atgādina pacientam par pierakstu uz pakalpojumu;  </w:t>
      </w:r>
    </w:p>
    <w:p w14:paraId="25C810EE" w14:textId="77777777" w:rsidR="00047BB0" w:rsidRDefault="00047BB0" w:rsidP="00047BB0">
      <w:pPr>
        <w:pStyle w:val="ListParagraph"/>
        <w:numPr>
          <w:ilvl w:val="0"/>
          <w:numId w:val="3"/>
        </w:numPr>
        <w:spacing w:line="252" w:lineRule="auto"/>
        <w:jc w:val="both"/>
        <w:rPr>
          <w:rFonts w:eastAsia="Times New Roman"/>
          <w:sz w:val="24"/>
          <w:szCs w:val="24"/>
        </w:rPr>
      </w:pPr>
      <w:r>
        <w:rPr>
          <w:rFonts w:eastAsia="Times New Roman"/>
          <w:sz w:val="24"/>
          <w:szCs w:val="24"/>
        </w:rPr>
        <w:t>ja rindā iekļauto personu gaidīšanas laiks pakalpojuma saņemšanai pārsniedz gadu, ārstniecības iestāde ne retāk kā reizi gadā aktualizē informāciju par personām, kas iekļautas rindā, izslēdzot no tās personas, kuras mirušas vai par kurām ir informācija, ka pakalpojums tām vairs nav nepieciešams. </w:t>
      </w:r>
    </w:p>
    <w:p w14:paraId="073E33DC" w14:textId="4237D948" w:rsidR="00047BB0" w:rsidRDefault="00047BB0" w:rsidP="00047BB0">
      <w:pPr>
        <w:jc w:val="both"/>
      </w:pPr>
      <w:r>
        <w:t>Ārstniecības iestādes v</w:t>
      </w:r>
      <w:r>
        <w:rPr>
          <w:rStyle w:val="cf01"/>
        </w:rPr>
        <w:t>ienu reizi mēnesī līdz 10.datumam sniedz atskaiti par rindu uz ambulatorajiem pakalpojumiem iepriekšējā mēnesī</w:t>
      </w:r>
      <w:r>
        <w:rPr>
          <w:color w:val="000000"/>
        </w:rPr>
        <w:t xml:space="preserve">: </w:t>
      </w:r>
      <w:hyperlink r:id="rId6" w:history="1">
        <w:r>
          <w:rPr>
            <w:noProof/>
            <w:color w:val="0000FF"/>
            <w:shd w:val="clear" w:color="auto" w:fill="F3F2F1"/>
          </w:rPr>
          <w:drawing>
            <wp:inline distT="0" distB="0" distL="0" distR="0" wp14:anchorId="66924E73" wp14:editId="34AF4005">
              <wp:extent cx="152400" cy="152400"/>
              <wp:effectExtent l="0" t="0" r="0" b="0"/>
              <wp:docPr id="37331806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SmartLink"/>
          </w:rPr>
          <w:t>Gaidīšanas_rindas_pārskats_dienās.xlsx</w:t>
        </w:r>
      </w:hyperlink>
      <w:r>
        <w:rPr>
          <w:color w:val="000000"/>
        </w:rPr>
        <w:t> </w:t>
      </w:r>
    </w:p>
    <w:p w14:paraId="785837A4" w14:textId="77777777" w:rsidR="00047BB0" w:rsidRDefault="00047BB0" w:rsidP="00047BB0">
      <w:pPr>
        <w:jc w:val="both"/>
        <w:rPr>
          <w:color w:val="000000"/>
        </w:rPr>
      </w:pPr>
    </w:p>
    <w:p w14:paraId="6B5B7BAC" w14:textId="77777777" w:rsidR="00047BB0" w:rsidRDefault="00047BB0" w:rsidP="00047BB0">
      <w:pPr>
        <w:jc w:val="both"/>
        <w:rPr>
          <w:color w:val="000000"/>
        </w:rPr>
      </w:pPr>
      <w:r>
        <w:rPr>
          <w:color w:val="000000"/>
        </w:rPr>
        <w:t>Gaidīšanas rindas garumu dienās norāda rēķinot tuvāko pieraksta laiku uz pakalpojumu uz katra mēneša 1. datumu. </w:t>
      </w:r>
    </w:p>
    <w:p w14:paraId="2FA4614F" w14:textId="77777777" w:rsidR="00047BB0" w:rsidRDefault="00047BB0" w:rsidP="00047BB0">
      <w:pPr>
        <w:jc w:val="both"/>
        <w:rPr>
          <w:color w:val="000000"/>
        </w:rPr>
      </w:pPr>
    </w:p>
    <w:p w14:paraId="5035D5DC" w14:textId="78EA5C4D" w:rsidR="00047BB0" w:rsidRDefault="00047BB0" w:rsidP="00047BB0">
      <w:pPr>
        <w:jc w:val="both"/>
        <w:rPr>
          <w:color w:val="000000"/>
        </w:rPr>
      </w:pPr>
      <w:r>
        <w:rPr>
          <w:color w:val="000000"/>
        </w:rPr>
        <w:t xml:space="preserve">Savukārt pacientu skaits rindā jānorāda reizi ceturksnī, tātad līdz 10.aprīlim, 10.jūlijam, līdz 10.oktobrim, līdz 10.janvārim: </w:t>
      </w:r>
      <w:hyperlink r:id="rId9" w:history="1">
        <w:r>
          <w:rPr>
            <w:noProof/>
            <w:color w:val="0000FF"/>
            <w:shd w:val="clear" w:color="auto" w:fill="F3F2F1"/>
          </w:rPr>
          <w:drawing>
            <wp:inline distT="0" distB="0" distL="0" distR="0" wp14:anchorId="15D88AB7" wp14:editId="40041D71">
              <wp:extent cx="152400" cy="152400"/>
              <wp:effectExtent l="0" t="0" r="0" b="0"/>
              <wp:docPr id="12243516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SmartLink"/>
          </w:rPr>
          <w:t>Gaidīšanas_rindas_pārskats_pacientu_skaits.xlsx</w:t>
        </w:r>
      </w:hyperlink>
      <w:r>
        <w:rPr>
          <w:color w:val="000000"/>
        </w:rPr>
        <w:t> </w:t>
      </w:r>
    </w:p>
    <w:p w14:paraId="3C5A41AC" w14:textId="77777777" w:rsidR="00047BB0" w:rsidRDefault="00047BB0" w:rsidP="00047BB0">
      <w:pPr>
        <w:jc w:val="both"/>
      </w:pPr>
    </w:p>
    <w:p w14:paraId="6D963AC6" w14:textId="77777777" w:rsidR="00047BB0" w:rsidRDefault="00047BB0" w:rsidP="00047BB0">
      <w:pPr>
        <w:jc w:val="both"/>
      </w:pPr>
      <w:r>
        <w:t xml:space="preserve">Ārstniecības iestāde ir atbildīga par atskaitē ievadītajiem datiem, to kvalitāti, no kuriem tiek uzturēta informācija </w:t>
      </w:r>
      <w:hyperlink r:id="rId10" w:history="1">
        <w:r>
          <w:rPr>
            <w:rStyle w:val="Hyperlink"/>
          </w:rPr>
          <w:t>http://www.rindapiearsta.lv/lv/mekle_isako</w:t>
        </w:r>
      </w:hyperlink>
    </w:p>
    <w:p w14:paraId="3759AF39" w14:textId="77777777" w:rsidR="00047BB0" w:rsidRDefault="00047BB0" w:rsidP="00047BB0">
      <w:pPr>
        <w:jc w:val="both"/>
      </w:pPr>
    </w:p>
    <w:p w14:paraId="06A3E9C3" w14:textId="77777777" w:rsidR="00047BB0" w:rsidRDefault="00047BB0" w:rsidP="00047BB0">
      <w:pPr>
        <w:jc w:val="both"/>
      </w:pPr>
    </w:p>
    <w:p w14:paraId="594B9F53" w14:textId="77777777" w:rsidR="00047BB0" w:rsidRDefault="00047BB0" w:rsidP="00047BB0">
      <w:pPr>
        <w:jc w:val="both"/>
      </w:pPr>
      <w:r>
        <w:t>Ar cieņu</w:t>
      </w:r>
    </w:p>
    <w:p w14:paraId="1FEB9FFB" w14:textId="452C29EA" w:rsidR="006F6367" w:rsidRDefault="00047BB0" w:rsidP="00047BB0">
      <w:pPr>
        <w:jc w:val="both"/>
      </w:pPr>
      <w:r>
        <w:t>Nacionālais veselības dienests</w:t>
      </w:r>
    </w:p>
    <w:sectPr w:rsidR="006F636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DE6720"/>
    <w:multiLevelType w:val="hybridMultilevel"/>
    <w:tmpl w:val="329601EA"/>
    <w:lvl w:ilvl="0" w:tplc="5CFE0618">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2BFB6EF9"/>
    <w:multiLevelType w:val="hybridMultilevel"/>
    <w:tmpl w:val="CFBACC9E"/>
    <w:lvl w:ilvl="0" w:tplc="C6AC2A0E">
      <w:numFmt w:val="bullet"/>
      <w:lvlText w:val="-"/>
      <w:lvlJc w:val="left"/>
      <w:pPr>
        <w:ind w:left="720" w:hanging="360"/>
      </w:pPr>
      <w:rPr>
        <w:rFonts w:ascii="Times New Roman" w:eastAsia="Aptos"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 w15:restartNumberingAfterBreak="0">
    <w:nsid w:val="78342F35"/>
    <w:multiLevelType w:val="hybridMultilevel"/>
    <w:tmpl w:val="9516E946"/>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num w:numId="1" w16cid:durableId="3417804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46038773">
    <w:abstractNumId w:val="2"/>
    <w:lvlOverride w:ilvl="0"/>
    <w:lvlOverride w:ilvl="1"/>
    <w:lvlOverride w:ilvl="2"/>
    <w:lvlOverride w:ilvl="3"/>
    <w:lvlOverride w:ilvl="4"/>
    <w:lvlOverride w:ilvl="5"/>
    <w:lvlOverride w:ilvl="6"/>
    <w:lvlOverride w:ilvl="7"/>
    <w:lvlOverride w:ilvl="8"/>
  </w:num>
  <w:num w:numId="3" w16cid:durableId="2060087374">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367"/>
    <w:rsid w:val="00047BB0"/>
    <w:rsid w:val="001F6BAC"/>
    <w:rsid w:val="00277773"/>
    <w:rsid w:val="00330D2D"/>
    <w:rsid w:val="00342837"/>
    <w:rsid w:val="00380EC9"/>
    <w:rsid w:val="004B0A27"/>
    <w:rsid w:val="0065372B"/>
    <w:rsid w:val="006F6367"/>
    <w:rsid w:val="007314AA"/>
    <w:rsid w:val="00850E1B"/>
    <w:rsid w:val="00A32602"/>
    <w:rsid w:val="00AF301E"/>
    <w:rsid w:val="00B125BF"/>
    <w:rsid w:val="00C0546B"/>
    <w:rsid w:val="00C22051"/>
    <w:rsid w:val="00CA56D2"/>
    <w:rsid w:val="00DC583F"/>
    <w:rsid w:val="00E7541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EC68A"/>
  <w15:chartTrackingRefBased/>
  <w15:docId w15:val="{08D97444-A32F-400B-9972-DE2094E91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367"/>
    <w:pPr>
      <w:spacing w:after="0" w:line="240" w:lineRule="auto"/>
    </w:pPr>
    <w:rPr>
      <w:rFonts w:ascii="Aptos" w:hAnsi="Aptos" w:cs="Aptos"/>
      <w:kern w:val="0"/>
      <w:sz w:val="24"/>
      <w:szCs w:val="24"/>
      <w:lang w:eastAsia="lv-LV"/>
      <w14:ligatures w14:val="none"/>
    </w:rPr>
  </w:style>
  <w:style w:type="paragraph" w:styleId="Heading1">
    <w:name w:val="heading 1"/>
    <w:basedOn w:val="Normal"/>
    <w:next w:val="Normal"/>
    <w:link w:val="Heading1Char"/>
    <w:uiPriority w:val="9"/>
    <w:qFormat/>
    <w:rsid w:val="006F6367"/>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6F6367"/>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6F6367"/>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6F6367"/>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Heading5">
    <w:name w:val="heading 5"/>
    <w:basedOn w:val="Normal"/>
    <w:next w:val="Normal"/>
    <w:link w:val="Heading5Char"/>
    <w:uiPriority w:val="9"/>
    <w:semiHidden/>
    <w:unhideWhenUsed/>
    <w:qFormat/>
    <w:rsid w:val="006F6367"/>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6F6367"/>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6F6367"/>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6F6367"/>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6F6367"/>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63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63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63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63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63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63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63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63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6367"/>
    <w:rPr>
      <w:rFonts w:eastAsiaTheme="majorEastAsia" w:cstheme="majorBidi"/>
      <w:color w:val="272727" w:themeColor="text1" w:themeTint="D8"/>
    </w:rPr>
  </w:style>
  <w:style w:type="paragraph" w:styleId="Title">
    <w:name w:val="Title"/>
    <w:basedOn w:val="Normal"/>
    <w:next w:val="Normal"/>
    <w:link w:val="TitleChar"/>
    <w:uiPriority w:val="10"/>
    <w:qFormat/>
    <w:rsid w:val="006F6367"/>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6F63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6367"/>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6F63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6367"/>
    <w:pPr>
      <w:spacing w:before="160" w:after="160" w:line="259" w:lineRule="auto"/>
      <w:jc w:val="center"/>
    </w:pPr>
    <w:rPr>
      <w:rFonts w:asciiTheme="minorHAnsi" w:hAnsiTheme="minorHAnsi" w:cstheme="minorBidi"/>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6F6367"/>
    <w:rPr>
      <w:i/>
      <w:iCs/>
      <w:color w:val="404040" w:themeColor="text1" w:themeTint="BF"/>
    </w:rPr>
  </w:style>
  <w:style w:type="paragraph" w:styleId="ListParagraph">
    <w:name w:val="List Paragraph"/>
    <w:basedOn w:val="Normal"/>
    <w:uiPriority w:val="34"/>
    <w:qFormat/>
    <w:rsid w:val="006F6367"/>
    <w:pPr>
      <w:spacing w:after="160" w:line="259" w:lineRule="auto"/>
      <w:ind w:left="720"/>
      <w:contextualSpacing/>
    </w:pPr>
    <w:rPr>
      <w:rFonts w:asciiTheme="minorHAnsi" w:hAnsiTheme="minorHAnsi" w:cstheme="minorBidi"/>
      <w:kern w:val="2"/>
      <w:sz w:val="22"/>
      <w:szCs w:val="22"/>
      <w:lang w:eastAsia="en-US"/>
      <w14:ligatures w14:val="standardContextual"/>
    </w:rPr>
  </w:style>
  <w:style w:type="character" w:styleId="IntenseEmphasis">
    <w:name w:val="Intense Emphasis"/>
    <w:basedOn w:val="DefaultParagraphFont"/>
    <w:uiPriority w:val="21"/>
    <w:qFormat/>
    <w:rsid w:val="006F6367"/>
    <w:rPr>
      <w:i/>
      <w:iCs/>
      <w:color w:val="0F4761" w:themeColor="accent1" w:themeShade="BF"/>
    </w:rPr>
  </w:style>
  <w:style w:type="paragraph" w:styleId="IntenseQuote">
    <w:name w:val="Intense Quote"/>
    <w:basedOn w:val="Normal"/>
    <w:next w:val="Normal"/>
    <w:link w:val="IntenseQuoteChar"/>
    <w:uiPriority w:val="30"/>
    <w:qFormat/>
    <w:rsid w:val="006F6367"/>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hAnsiTheme="minorHAnsi" w:cstheme="minorBidi"/>
      <w:i/>
      <w:iCs/>
      <w:color w:val="0F4761"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6F6367"/>
    <w:rPr>
      <w:i/>
      <w:iCs/>
      <w:color w:val="0F4761" w:themeColor="accent1" w:themeShade="BF"/>
    </w:rPr>
  </w:style>
  <w:style w:type="character" w:styleId="IntenseReference">
    <w:name w:val="Intense Reference"/>
    <w:basedOn w:val="DefaultParagraphFont"/>
    <w:uiPriority w:val="32"/>
    <w:qFormat/>
    <w:rsid w:val="006F6367"/>
    <w:rPr>
      <w:b/>
      <w:bCs/>
      <w:smallCaps/>
      <w:color w:val="0F4761" w:themeColor="accent1" w:themeShade="BF"/>
      <w:spacing w:val="5"/>
    </w:rPr>
  </w:style>
  <w:style w:type="character" w:styleId="Hyperlink">
    <w:name w:val="Hyperlink"/>
    <w:basedOn w:val="DefaultParagraphFont"/>
    <w:uiPriority w:val="99"/>
    <w:semiHidden/>
    <w:unhideWhenUsed/>
    <w:rsid w:val="006F6367"/>
    <w:rPr>
      <w:color w:val="0000FF"/>
      <w:u w:val="single"/>
    </w:rPr>
  </w:style>
  <w:style w:type="paragraph" w:customStyle="1" w:styleId="xmsonormal">
    <w:name w:val="x_msonormal"/>
    <w:basedOn w:val="Normal"/>
    <w:rsid w:val="006F6367"/>
    <w:rPr>
      <w:sz w:val="22"/>
      <w:szCs w:val="22"/>
    </w:rPr>
  </w:style>
  <w:style w:type="paragraph" w:styleId="NormalWeb">
    <w:name w:val="Normal (Web)"/>
    <w:basedOn w:val="Normal"/>
    <w:uiPriority w:val="99"/>
    <w:unhideWhenUsed/>
    <w:rsid w:val="00A32602"/>
    <w:pPr>
      <w:spacing w:before="100" w:beforeAutospacing="1" w:after="100" w:afterAutospacing="1"/>
    </w:pPr>
  </w:style>
  <w:style w:type="paragraph" w:styleId="Header">
    <w:name w:val="header"/>
    <w:basedOn w:val="Normal"/>
    <w:link w:val="HeaderChar"/>
    <w:uiPriority w:val="99"/>
    <w:semiHidden/>
    <w:unhideWhenUsed/>
    <w:rsid w:val="00A32602"/>
    <w:rPr>
      <w:rFonts w:ascii="Calibri" w:hAnsi="Calibri" w:cs="Calibri"/>
      <w:sz w:val="22"/>
      <w:szCs w:val="22"/>
      <w:lang w:eastAsia="en-US"/>
    </w:rPr>
  </w:style>
  <w:style w:type="character" w:customStyle="1" w:styleId="HeaderChar">
    <w:name w:val="Header Char"/>
    <w:basedOn w:val="DefaultParagraphFont"/>
    <w:link w:val="Header"/>
    <w:uiPriority w:val="99"/>
    <w:semiHidden/>
    <w:rsid w:val="00A32602"/>
    <w:rPr>
      <w:rFonts w:ascii="Calibri" w:hAnsi="Calibri" w:cs="Calibri"/>
      <w:kern w:val="0"/>
      <w14:ligatures w14:val="none"/>
    </w:rPr>
  </w:style>
  <w:style w:type="character" w:styleId="SmartLink">
    <w:name w:val="Smart Link"/>
    <w:basedOn w:val="DefaultParagraphFont"/>
    <w:uiPriority w:val="99"/>
    <w:semiHidden/>
    <w:unhideWhenUsed/>
    <w:rsid w:val="00047BB0"/>
    <w:rPr>
      <w:color w:val="0000FF"/>
      <w:u w:val="single"/>
      <w:shd w:val="clear" w:color="auto" w:fill="F3F2F1"/>
    </w:rPr>
  </w:style>
  <w:style w:type="character" w:customStyle="1" w:styleId="entity">
    <w:name w:val="_entity"/>
    <w:basedOn w:val="DefaultParagraphFont"/>
    <w:rsid w:val="00047BB0"/>
  </w:style>
  <w:style w:type="character" w:customStyle="1" w:styleId="cf01">
    <w:name w:val="cf01"/>
    <w:basedOn w:val="DefaultParagraphFont"/>
    <w:rsid w:val="00047BB0"/>
    <w:rPr>
      <w:rFonts w:ascii="Segoe UI" w:hAnsi="Segoe UI" w:cs="Segoe UI"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9834758">
      <w:bodyDiv w:val="1"/>
      <w:marLeft w:val="0"/>
      <w:marRight w:val="0"/>
      <w:marTop w:val="0"/>
      <w:marBottom w:val="0"/>
      <w:divBdr>
        <w:top w:val="none" w:sz="0" w:space="0" w:color="auto"/>
        <w:left w:val="none" w:sz="0" w:space="0" w:color="auto"/>
        <w:bottom w:val="none" w:sz="0" w:space="0" w:color="auto"/>
        <w:right w:val="none" w:sz="0" w:space="0" w:color="auto"/>
      </w:divBdr>
    </w:div>
    <w:div w:id="643581153">
      <w:bodyDiv w:val="1"/>
      <w:marLeft w:val="0"/>
      <w:marRight w:val="0"/>
      <w:marTop w:val="0"/>
      <w:marBottom w:val="0"/>
      <w:divBdr>
        <w:top w:val="none" w:sz="0" w:space="0" w:color="auto"/>
        <w:left w:val="none" w:sz="0" w:space="0" w:color="auto"/>
        <w:bottom w:val="none" w:sz="0" w:space="0" w:color="auto"/>
        <w:right w:val="none" w:sz="0" w:space="0" w:color="auto"/>
      </w:divBdr>
    </w:div>
    <w:div w:id="710887002">
      <w:bodyDiv w:val="1"/>
      <w:marLeft w:val="0"/>
      <w:marRight w:val="0"/>
      <w:marTop w:val="0"/>
      <w:marBottom w:val="0"/>
      <w:divBdr>
        <w:top w:val="none" w:sz="0" w:space="0" w:color="auto"/>
        <w:left w:val="none" w:sz="0" w:space="0" w:color="auto"/>
        <w:bottom w:val="none" w:sz="0" w:space="0" w:color="auto"/>
        <w:right w:val="none" w:sz="0" w:space="0" w:color="auto"/>
      </w:divBdr>
    </w:div>
    <w:div w:id="785273850">
      <w:bodyDiv w:val="1"/>
      <w:marLeft w:val="0"/>
      <w:marRight w:val="0"/>
      <w:marTop w:val="0"/>
      <w:marBottom w:val="0"/>
      <w:divBdr>
        <w:top w:val="none" w:sz="0" w:space="0" w:color="auto"/>
        <w:left w:val="none" w:sz="0" w:space="0" w:color="auto"/>
        <w:bottom w:val="none" w:sz="0" w:space="0" w:color="auto"/>
        <w:right w:val="none" w:sz="0" w:space="0" w:color="auto"/>
      </w:divBdr>
    </w:div>
    <w:div w:id="954555410">
      <w:bodyDiv w:val="1"/>
      <w:marLeft w:val="0"/>
      <w:marRight w:val="0"/>
      <w:marTop w:val="0"/>
      <w:marBottom w:val="0"/>
      <w:divBdr>
        <w:top w:val="none" w:sz="0" w:space="0" w:color="auto"/>
        <w:left w:val="none" w:sz="0" w:space="0" w:color="auto"/>
        <w:bottom w:val="none" w:sz="0" w:space="0" w:color="auto"/>
        <w:right w:val="none" w:sz="0" w:space="0" w:color="auto"/>
      </w:divBdr>
    </w:div>
    <w:div w:id="961612107">
      <w:bodyDiv w:val="1"/>
      <w:marLeft w:val="0"/>
      <w:marRight w:val="0"/>
      <w:marTop w:val="0"/>
      <w:marBottom w:val="0"/>
      <w:divBdr>
        <w:top w:val="none" w:sz="0" w:space="0" w:color="auto"/>
        <w:left w:val="none" w:sz="0" w:space="0" w:color="auto"/>
        <w:bottom w:val="none" w:sz="0" w:space="0" w:color="auto"/>
        <w:right w:val="none" w:sz="0" w:space="0" w:color="auto"/>
      </w:divBdr>
    </w:div>
    <w:div w:id="1223908224">
      <w:bodyDiv w:val="1"/>
      <w:marLeft w:val="0"/>
      <w:marRight w:val="0"/>
      <w:marTop w:val="0"/>
      <w:marBottom w:val="0"/>
      <w:divBdr>
        <w:top w:val="none" w:sz="0" w:space="0" w:color="auto"/>
        <w:left w:val="none" w:sz="0" w:space="0" w:color="auto"/>
        <w:bottom w:val="none" w:sz="0" w:space="0" w:color="auto"/>
        <w:right w:val="none" w:sz="0" w:space="0" w:color="auto"/>
      </w:divBdr>
    </w:div>
    <w:div w:id="1294365580">
      <w:bodyDiv w:val="1"/>
      <w:marLeft w:val="0"/>
      <w:marRight w:val="0"/>
      <w:marTop w:val="0"/>
      <w:marBottom w:val="0"/>
      <w:divBdr>
        <w:top w:val="none" w:sz="0" w:space="0" w:color="auto"/>
        <w:left w:val="none" w:sz="0" w:space="0" w:color="auto"/>
        <w:bottom w:val="none" w:sz="0" w:space="0" w:color="auto"/>
        <w:right w:val="none" w:sz="0" w:space="0" w:color="auto"/>
      </w:divBdr>
    </w:div>
    <w:div w:id="153730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7.png@01DACC8D.84C74D80"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eselibasministrija-my.sharepoint.com/:x:/g/personal/linda_celmina-keze_vmnvd_gov_lv/ESvNvznhEExKspOn3SANB2kBhm5Qxa-A4G1uYu82sPJsnA" TargetMode="External"/><Relationship Id="rId11" Type="http://schemas.openxmlformats.org/officeDocument/2006/relationships/fontTable" Target="fontTable.xml"/><Relationship Id="rId5" Type="http://schemas.openxmlformats.org/officeDocument/2006/relationships/hyperlink" Target="http://www.rindapiearsta.lv/lv/mekle_isako" TargetMode="External"/><Relationship Id="rId10" Type="http://schemas.openxmlformats.org/officeDocument/2006/relationships/hyperlink" Target="http://www.rindapiearsta.lv/lv/mekle_isako" TargetMode="External"/><Relationship Id="rId4" Type="http://schemas.openxmlformats.org/officeDocument/2006/relationships/webSettings" Target="webSettings.xml"/><Relationship Id="rId9" Type="http://schemas.openxmlformats.org/officeDocument/2006/relationships/hyperlink" Target="https://veselibasministrija-my.sharepoint.com/:x:/g/personal/linda_celmina-keze_vmnvd_gov_lv/EUQWNIHPXJVIp_bik1pI3skBTdXikVpgJyZdz2QpoUJrU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2525</Words>
  <Characters>1440</Characters>
  <Application>Microsoft Office Word</Application>
  <DocSecurity>0</DocSecurity>
  <Lines>12</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Ildze Liepiņa</dc:creator>
  <cp:keywords/>
  <dc:description/>
  <cp:lastModifiedBy>Ildze Liepiņa</cp:lastModifiedBy>
  <cp:revision>3</cp:revision>
  <dcterms:created xsi:type="dcterms:W3CDTF">2024-07-02T13:21:00Z</dcterms:created>
  <dcterms:modified xsi:type="dcterms:W3CDTF">2024-07-02T13:43:00Z</dcterms:modified>
</cp:coreProperties>
</file>