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CA0D3D4" w:rsidR="002C35F4" w:rsidRDefault="001C3003" w:rsidP="006C1832">
      <w:pPr>
        <w:spacing w:after="0" w:line="240" w:lineRule="auto"/>
        <w:rPr>
          <w:b/>
          <w:bCs/>
        </w:rPr>
      </w:pPr>
      <w:r>
        <w:rPr>
          <w:b/>
          <w:bCs/>
        </w:rPr>
        <w:t>13.09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29DD302" w14:textId="0FD96CD2" w:rsidR="005F249E" w:rsidRDefault="001C3003" w:rsidP="008A6294">
      <w:pPr>
        <w:tabs>
          <w:tab w:val="left" w:pos="2160"/>
        </w:tabs>
        <w:spacing w:after="0" w:line="240" w:lineRule="auto"/>
        <w:jc w:val="both"/>
      </w:pPr>
      <w:r>
        <w:t>Uzaicinājums uz s</w:t>
      </w:r>
      <w:r w:rsidRPr="001C3003">
        <w:t>eminār</w:t>
      </w:r>
      <w:r>
        <w:t>u</w:t>
      </w:r>
      <w:r w:rsidRPr="001C3003">
        <w:t xml:space="preserve"> zobārstniecības pakalpojumu sniedzējiem</w:t>
      </w:r>
      <w:r w:rsidRPr="001C3003">
        <w:t xml:space="preserve"> </w:t>
      </w:r>
      <w:r w:rsidRPr="001C3003">
        <w:t>18.septembrī</w:t>
      </w:r>
    </w:p>
    <w:p w14:paraId="5A41BE53" w14:textId="77777777" w:rsidR="001C3003" w:rsidRPr="001C3003" w:rsidRDefault="001C3003" w:rsidP="008A6294">
      <w:pPr>
        <w:tabs>
          <w:tab w:val="left" w:pos="2160"/>
        </w:tabs>
        <w:spacing w:after="0" w:line="240" w:lineRule="auto"/>
        <w:jc w:val="both"/>
      </w:pPr>
    </w:p>
    <w:p w14:paraId="61F3DB35" w14:textId="6E63060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2093ADA" w14:textId="7777777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 xml:space="preserve">Nacionālais veselības dienests (turpmāk – Dienests) </w:t>
      </w:r>
      <w:proofErr w:type="spellStart"/>
      <w:r w:rsidRPr="001C3003">
        <w:rPr>
          <w:rFonts w:cstheme="minorHAnsi"/>
        </w:rPr>
        <w:t>nosūta</w:t>
      </w:r>
      <w:proofErr w:type="spellEnd"/>
      <w:r w:rsidRPr="001C3003">
        <w:rPr>
          <w:rFonts w:cstheme="minorHAnsi"/>
        </w:rPr>
        <w:t xml:space="preserve"> uzaicinājumu uz attālināto semināru zobārstniecības pakalpojumu sniedzējiem š.g. 18.septembrī plkst.10.00-11.00.</w:t>
      </w:r>
    </w:p>
    <w:p w14:paraId="64673683" w14:textId="576784F4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Pieslēgšanās saiti skatīt zemāk. Lūgums pieslēgties semināra saitei no 9.45 līdz 9.55.</w:t>
      </w:r>
    </w:p>
    <w:p w14:paraId="1D0480C0" w14:textId="39647BED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Seminārā tiks pārrunāta aktualizētā Zobārstniecības pakalpojumu sniegšanas kārtību, kas stājas spēkā no 2024.gada 1.oktobra un kurā tiek skaidroti sekojoši jautājumi:</w:t>
      </w:r>
    </w:p>
    <w:p w14:paraId="40FEBFE0" w14:textId="5EF3138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-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Vispārējo zobārstniecības pakalpojumu sniegšana (jauna)</w:t>
      </w:r>
    </w:p>
    <w:p w14:paraId="7873C153" w14:textId="2E41197B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-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Specializētu zobārstniecības pakalpojumu nodrošināšana (jauna)</w:t>
      </w:r>
    </w:p>
    <w:p w14:paraId="41352F5C" w14:textId="127B4BB1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-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Zobārstniecības pakalpojumu vispārējā anestēzijā sniegšana (aktualizēta iepriekšējā kārtība)</w:t>
      </w:r>
    </w:p>
    <w:p w14:paraId="6C4EBDD5" w14:textId="1F138E22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-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 </w:t>
      </w:r>
      <w:r w:rsidRPr="001C3003">
        <w:rPr>
          <w:rFonts w:cstheme="minorHAnsi"/>
        </w:rPr>
        <w:t>Zobārstniecības pakalpojumu sniegšana mobilajā zobārstniecības autobusā (bez izmaiņām) </w:t>
      </w:r>
    </w:p>
    <w:p w14:paraId="52395ABE" w14:textId="4C40771B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Minētā kārtība tika aktualizēta sadarbībā ar Latvijas Zobārstu asociāciju.</w:t>
      </w:r>
    </w:p>
    <w:p w14:paraId="282F7FF3" w14:textId="60262EF5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 xml:space="preserve"> Par zobārstniecības pakalpojumu vispārējā anestēzijā sniegšanu skaidros </w:t>
      </w:r>
      <w:proofErr w:type="spellStart"/>
      <w:r w:rsidRPr="001C3003">
        <w:rPr>
          <w:rFonts w:cstheme="minorHAnsi"/>
        </w:rPr>
        <w:t>Dr.Sanita</w:t>
      </w:r>
      <w:proofErr w:type="spellEnd"/>
      <w:r w:rsidRPr="001C3003">
        <w:rPr>
          <w:rFonts w:cstheme="minorHAnsi"/>
        </w:rPr>
        <w:t xml:space="preserve"> Intlere, Veselības ministrijas galvenais speciālists zobārstniecībā, Terapijas un Mutes veselības katedras docētāja, </w:t>
      </w:r>
      <w:proofErr w:type="spellStart"/>
      <w:r w:rsidRPr="001C3003">
        <w:rPr>
          <w:rFonts w:cstheme="minorHAnsi"/>
        </w:rPr>
        <w:t>Dr.Andis</w:t>
      </w:r>
      <w:proofErr w:type="spellEnd"/>
      <w:r w:rsidRPr="001C3003">
        <w:rPr>
          <w:rFonts w:cstheme="minorHAnsi"/>
        </w:rPr>
        <w:t xml:space="preserve"> Paeglītis, Latvijas Zobārstu asociācijas viceprezidents un </w:t>
      </w:r>
      <w:proofErr w:type="spellStart"/>
      <w:r w:rsidRPr="001C3003">
        <w:rPr>
          <w:rFonts w:cstheme="minorHAnsi"/>
        </w:rPr>
        <w:t>Prof.Anda</w:t>
      </w:r>
      <w:proofErr w:type="spellEnd"/>
      <w:r w:rsidRPr="001C3003">
        <w:rPr>
          <w:rFonts w:cstheme="minorHAnsi"/>
        </w:rPr>
        <w:t xml:space="preserve"> Brinkmane, Terapijas un Mutes veselības katedras vadītāja.</w:t>
      </w:r>
    </w:p>
    <w:p w14:paraId="414C5A14" w14:textId="7777777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</w:t>
      </w:r>
    </w:p>
    <w:p w14:paraId="2390D8BC" w14:textId="7B2B4791" w:rsidR="002C26C5" w:rsidRPr="005F249E" w:rsidRDefault="002C26C5" w:rsidP="001C3003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27ED4" w14:textId="77777777" w:rsidR="006C3D2B" w:rsidRDefault="006C3D2B" w:rsidP="00432099">
      <w:pPr>
        <w:spacing w:after="0" w:line="240" w:lineRule="auto"/>
      </w:pPr>
      <w:r>
        <w:separator/>
      </w:r>
    </w:p>
  </w:endnote>
  <w:endnote w:type="continuationSeparator" w:id="0">
    <w:p w14:paraId="1CFC4C5F" w14:textId="77777777" w:rsidR="006C3D2B" w:rsidRDefault="006C3D2B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A80CD" w14:textId="77777777" w:rsidR="006C3D2B" w:rsidRDefault="006C3D2B" w:rsidP="00432099">
      <w:pPr>
        <w:spacing w:after="0" w:line="240" w:lineRule="auto"/>
      </w:pPr>
      <w:r>
        <w:separator/>
      </w:r>
    </w:p>
  </w:footnote>
  <w:footnote w:type="continuationSeparator" w:id="0">
    <w:p w14:paraId="585E6841" w14:textId="77777777" w:rsidR="006C3D2B" w:rsidRDefault="006C3D2B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1"/>
  </w:num>
  <w:num w:numId="2" w16cid:durableId="973632658">
    <w:abstractNumId w:val="13"/>
  </w:num>
  <w:num w:numId="3" w16cid:durableId="19998446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0"/>
  </w:num>
  <w:num w:numId="6" w16cid:durableId="759377296">
    <w:abstractNumId w:val="17"/>
  </w:num>
  <w:num w:numId="7" w16cid:durableId="1061056529">
    <w:abstractNumId w:val="20"/>
  </w:num>
  <w:num w:numId="8" w16cid:durableId="906765873">
    <w:abstractNumId w:val="17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18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2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4"/>
  </w:num>
  <w:num w:numId="22" w16cid:durableId="1665284527">
    <w:abstractNumId w:val="3"/>
  </w:num>
  <w:num w:numId="23" w16cid:durableId="455685819">
    <w:abstractNumId w:val="16"/>
  </w:num>
  <w:num w:numId="24" w16cid:durableId="2108118080">
    <w:abstractNumId w:val="15"/>
  </w:num>
  <w:num w:numId="25" w16cid:durableId="62462444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21EC6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2024-09-20T06:16:00Z</dcterms:created>
  <dcterms:modified xsi:type="dcterms:W3CDTF">2024-09-20T06:16:00Z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