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73F19" w14:textId="6D3EFCB1" w:rsidR="00F607EA" w:rsidRDefault="00F607EA" w:rsidP="00F607EA">
      <w:pPr>
        <w:rPr>
          <w:b/>
          <w:bCs/>
        </w:rPr>
      </w:pPr>
      <w:r>
        <w:rPr>
          <w:b/>
          <w:bCs/>
        </w:rPr>
        <w:t>02.10.2024</w:t>
      </w:r>
    </w:p>
    <w:p w14:paraId="1F5E3550" w14:textId="5C2A85AE" w:rsidR="00F607EA" w:rsidRDefault="00F607EA" w:rsidP="00F607EA">
      <w:pPr>
        <w:rPr>
          <w:b/>
          <w:bCs/>
        </w:rPr>
      </w:pPr>
      <w:r>
        <w:rPr>
          <w:b/>
          <w:bCs/>
        </w:rPr>
        <w:t>E-pasta nosaukums</w:t>
      </w:r>
    </w:p>
    <w:p w14:paraId="4A5618A1" w14:textId="73EE829A" w:rsidR="00F607EA" w:rsidRPr="00F607EA" w:rsidRDefault="00F607EA" w:rsidP="00F607EA">
      <w:r w:rsidRPr="00F607EA">
        <w:t>Par aktualizēto manipulāciju sarakstu no 01.10.2024.</w:t>
      </w:r>
    </w:p>
    <w:p w14:paraId="7690B679" w14:textId="77777777" w:rsidR="00F607EA" w:rsidRDefault="00F607EA" w:rsidP="00F607EA">
      <w:pPr>
        <w:rPr>
          <w:b/>
          <w:bCs/>
        </w:rPr>
      </w:pPr>
      <w:r>
        <w:rPr>
          <w:b/>
          <w:bCs/>
        </w:rPr>
        <w:t>E-pasta teksts</w:t>
      </w:r>
    </w:p>
    <w:p w14:paraId="0FBD91D8" w14:textId="77777777" w:rsidR="00F607EA" w:rsidRPr="00F607EA" w:rsidRDefault="00F607EA" w:rsidP="00F607EA">
      <w:pPr>
        <w:rPr>
          <w:b/>
          <w:bCs/>
        </w:rPr>
      </w:pPr>
    </w:p>
    <w:p w14:paraId="63FBC3B6" w14:textId="77777777" w:rsidR="00F607EA" w:rsidRPr="00F607EA" w:rsidRDefault="00F607EA" w:rsidP="00F607EA">
      <w:r w:rsidRPr="00F607EA">
        <w:t xml:space="preserve">Nacionālais veselības dienests (turpmāk – Dienests) informē, ka ir veikta manipulāciju saraksta pārskatīšana un grozījumu sagatavošana – aktualizētais manipulāciju saraksts stājas spēkā ar 01.10.2024. Dienests skaidro, ka saskaņā ar Ministru kabineta 2018. gada 28. augusta noteikumu Nr.555 “Veselības aprūpes pakalpojumu organizēšanas un samaksas kārtība” (turpmāk – Noteikumu) 2.14. punktu Dienests sagatavo manipulāciju sarakstu, saskaņā ar Noteikumu Nr. 555 154.7. punktu, kurš apstiprināts ar 2024. gada oktobra iekšējo rīkojumu.  Savukārt līgumos par veselības aprūpes pakalpojumu sniegšanu un apmaksu noteikts, ka Dienesta pienākums ir informēt līgumpartnerus par izmaiņām manipulāciju sarakstā, lai līgumpartneri šo informāciju ņemtu vērā līgumu izpildē. </w:t>
      </w:r>
    </w:p>
    <w:p w14:paraId="4C8FFFA6" w14:textId="77777777" w:rsidR="00F607EA" w:rsidRPr="00F607EA" w:rsidRDefault="00F607EA" w:rsidP="00F607EA">
      <w:r w:rsidRPr="00F607EA">
        <w:t xml:space="preserve">Aktualizētā manipulāciju saraksta versija pievienota vēstules pielikumā un publicēta Dienesta tīmekļvietnes </w:t>
      </w:r>
      <w:hyperlink r:id="rId5" w:history="1">
        <w:r w:rsidRPr="00F607EA">
          <w:rPr>
            <w:rStyle w:val="Hyperlink"/>
          </w:rPr>
          <w:t>www.vmnvd.gov.lv</w:t>
        </w:r>
      </w:hyperlink>
      <w:r w:rsidRPr="00F607EA">
        <w:t xml:space="preserve"> sadaļā “Profesionāļiem” – “Pakalpojumu tarifi”. Tāpat šajā tīmekļvietnes sadaļā ir pieejamas vēsturiskās manipulāciju saraksta versijas un informācija par visām veiktajām izmaiņām – failā “Manipulāciju saraksta izmaiņu reģistrs”.</w:t>
      </w:r>
    </w:p>
    <w:p w14:paraId="4B4F57AC" w14:textId="77777777" w:rsidR="00F607EA" w:rsidRPr="00F607EA" w:rsidRDefault="00F607EA" w:rsidP="00F607EA">
      <w:r w:rsidRPr="00F607EA">
        <w:t>veiktajām izmaiņām – failā “Manipulāciju saraksta izmaiņu reģistrs”.</w:t>
      </w:r>
    </w:p>
    <w:p w14:paraId="3DE34F8E" w14:textId="77777777" w:rsidR="00F607EA" w:rsidRPr="00F607EA" w:rsidRDefault="00F607EA" w:rsidP="00F607EA">
      <w:r w:rsidRPr="00F607EA">
        <w:t>Dienests informē, ka manipulāciju saraksta izmaiņas ir saistītas ar redakcionālām izmaiņām:</w:t>
      </w:r>
    </w:p>
    <w:p w14:paraId="546FCDE8" w14:textId="77777777" w:rsidR="00F607EA" w:rsidRPr="00F607EA" w:rsidRDefault="00F607EA" w:rsidP="00F607EA">
      <w:pPr>
        <w:numPr>
          <w:ilvl w:val="0"/>
          <w:numId w:val="1"/>
        </w:numPr>
      </w:pPr>
      <w:r w:rsidRPr="00F607EA">
        <w:t>lai nodrošinātu korektu griezējšuvēju pakalpojuma apmaksu VSIA "Bērnu  klīniskā universitātes slimnīca";</w:t>
      </w:r>
    </w:p>
    <w:p w14:paraId="603B1685" w14:textId="77777777" w:rsidR="00F607EA" w:rsidRPr="00F607EA" w:rsidRDefault="00F607EA" w:rsidP="00F607EA">
      <w:pPr>
        <w:numPr>
          <w:ilvl w:val="0"/>
          <w:numId w:val="1"/>
        </w:numPr>
      </w:pPr>
      <w:r w:rsidRPr="00F607EA">
        <w:t>lai nodrošinātu, ka dzemdes dobuma aspirācijas un sagatavošanas pakalpojums tiek nodrošināts gan citoloģiskai, gan histoloģiskai izmeklēšanai;</w:t>
      </w:r>
    </w:p>
    <w:p w14:paraId="55DBD2F8" w14:textId="77777777" w:rsidR="00F607EA" w:rsidRPr="00F607EA" w:rsidRDefault="00F607EA" w:rsidP="00F607EA">
      <w:pPr>
        <w:numPr>
          <w:ilvl w:val="0"/>
          <w:numId w:val="1"/>
        </w:numPr>
      </w:pPr>
      <w:r w:rsidRPr="00F607EA">
        <w:t xml:space="preserve">lai informētu, ka manipulāciju 54012 </w:t>
      </w:r>
      <w:r w:rsidRPr="00F607EA">
        <w:rPr>
          <w:i/>
          <w:iCs/>
        </w:rPr>
        <w:t>Operācijas un biopsijas materiālā hromogēnā in situ hibridizācijas izmeklējums mutāciju noteikšanai</w:t>
      </w:r>
      <w:r w:rsidRPr="00F607EA">
        <w:t xml:space="preserve"> apmaksā arī ambulatori, tikai tad, ja izmeklējums veikts SIA “Rīgas Austrumu klīniskās universitātes slimnīca”;</w:t>
      </w:r>
    </w:p>
    <w:p w14:paraId="6D394816" w14:textId="77777777" w:rsidR="00F607EA" w:rsidRPr="00F607EA" w:rsidRDefault="00F607EA" w:rsidP="00F607EA">
      <w:pPr>
        <w:numPr>
          <w:ilvl w:val="0"/>
          <w:numId w:val="1"/>
        </w:numPr>
      </w:pPr>
      <w:r w:rsidRPr="00F607EA">
        <w:t xml:space="preserve">lai precizētu manipulācijas 41079 </w:t>
      </w:r>
      <w:r w:rsidRPr="00F607EA">
        <w:rPr>
          <w:i/>
          <w:iCs/>
        </w:rPr>
        <w:t xml:space="preserve">Asins gāzu un Ph analīze bērniem </w:t>
      </w:r>
      <w:r w:rsidRPr="00F607EA">
        <w:t>nosaukumu ar Vadības informācijas sistēmā norādīto, ka tā tiek apmaksāta tikai bērniem;</w:t>
      </w:r>
    </w:p>
    <w:p w14:paraId="498F6595" w14:textId="77777777" w:rsidR="00F607EA" w:rsidRPr="00F607EA" w:rsidRDefault="00F607EA" w:rsidP="00F607EA">
      <w:pPr>
        <w:numPr>
          <w:ilvl w:val="0"/>
          <w:numId w:val="1"/>
        </w:numPr>
      </w:pPr>
      <w:r w:rsidRPr="00F607EA">
        <w:t>lai precizētu, ka samaksa tiek veikta par vienas pavadošās personas atrašanos pie pacienta diennakts stacionārā.</w:t>
      </w:r>
    </w:p>
    <w:p w14:paraId="1D38ED0F" w14:textId="77777777" w:rsidR="00F607EA" w:rsidRPr="00F607EA" w:rsidRDefault="00F607EA" w:rsidP="00F607EA">
      <w:r w:rsidRPr="00F607EA">
        <w:t>Papildus Dienests informē, ka no šī gada 1. oktobra hemodialīzes, hemofiltrācijas, hemoperfūzijas, plazmaferēzes un plazmosorbcijas manipulācijām tiek dzēsta atzīme pie sadaļas “Lielās ķirurģiskās operācijas”.</w:t>
      </w:r>
    </w:p>
    <w:p w14:paraId="2BEB0974" w14:textId="77777777" w:rsidR="00F607EA" w:rsidRPr="00F607EA" w:rsidRDefault="00F607EA" w:rsidP="00F607EA">
      <w:r w:rsidRPr="00F607EA">
        <w:lastRenderedPageBreak/>
        <w:t xml:space="preserve">Lai uzlabotu pakalpojuma pieejamību jaundzimušo skrīninga jomā, tiek paplašināti manipulācijas 49101 </w:t>
      </w:r>
      <w:r w:rsidRPr="00F607EA">
        <w:rPr>
          <w:i/>
          <w:iCs/>
        </w:rPr>
        <w:t xml:space="preserve">Enzīma GALT aktivitātes kvantitatīva noteikšana no sausa asins piliena (sekundārs skrīnings) </w:t>
      </w:r>
      <w:r w:rsidRPr="00F607EA">
        <w:t>apmaksas nosacījumi, norādot, ka pakalpojums no valsts budžeta līdzekļiem tiek apmaksāts arī jaundzimušajiem, kuriem klīnisku iemeslu dēļ skrīninga paraugs paņemts līdz 48 stundu vecumam; priekšlaikus dzimušiem bērniem (33+6 gestācijas nedēļā) un jaundzimušajiem, kuri saņēmuši asins produktu transfūziju un parenterālu barošanu.</w:t>
      </w:r>
    </w:p>
    <w:p w14:paraId="72D67909" w14:textId="77777777" w:rsidR="00F607EA" w:rsidRPr="00F607EA" w:rsidRDefault="00F607EA" w:rsidP="00F607EA">
      <w:r w:rsidRPr="00F607EA">
        <w:t xml:space="preserve">No šī gada 1. oktobra ieviesta jauna manipulācija 60680 </w:t>
      </w:r>
      <w:r w:rsidRPr="00F607EA">
        <w:rPr>
          <w:i/>
          <w:iCs/>
        </w:rPr>
        <w:t xml:space="preserve">Piemaksa par pacienta nogādāšanu no augstāka līmeņa stacionārās ārstniecības iestādes uz zemāka līmeņa stacionāro ārstniecības iestādi terapijas pabeigšanai, </w:t>
      </w:r>
      <w:r w:rsidRPr="00F607EA">
        <w:t>lai nodrošinātu pārredzamāku un korektāku pakalpojuma apmaksu.</w:t>
      </w:r>
    </w:p>
    <w:p w14:paraId="28EE3C91" w14:textId="77777777" w:rsidR="00F607EA" w:rsidRPr="00F607EA" w:rsidRDefault="00F607EA" w:rsidP="00F607EA">
      <w:r w:rsidRPr="00F607EA">
        <w:t xml:space="preserve">Jautājumu gadījumā par izmaiņām Dienests lūdz sazināties ar Līgumpartneru departamenta nodaļām. </w:t>
      </w:r>
    </w:p>
    <w:p w14:paraId="56964889" w14:textId="77777777" w:rsidR="00F607EA" w:rsidRPr="00F607EA" w:rsidRDefault="00F607EA" w:rsidP="00F607EA"/>
    <w:p w14:paraId="5E69A302" w14:textId="77777777" w:rsidR="00F607EA" w:rsidRPr="00F607EA" w:rsidRDefault="00F607EA" w:rsidP="00F607EA">
      <w:r w:rsidRPr="00F607EA">
        <w:t xml:space="preserve">Pielikumā: </w:t>
      </w:r>
    </w:p>
    <w:p w14:paraId="159F6B81" w14:textId="77777777" w:rsidR="00F607EA" w:rsidRPr="00F607EA" w:rsidRDefault="00F607EA" w:rsidP="00F607EA">
      <w:pPr>
        <w:numPr>
          <w:ilvl w:val="0"/>
          <w:numId w:val="2"/>
        </w:numPr>
      </w:pPr>
      <w:r w:rsidRPr="00F607EA">
        <w:t>Manipulāciju saraksts no 01102024</w:t>
      </w:r>
    </w:p>
    <w:p w14:paraId="1FEBFD4C" w14:textId="77777777" w:rsidR="00F607EA" w:rsidRPr="00F607EA" w:rsidRDefault="00F607EA" w:rsidP="00F607EA">
      <w:pPr>
        <w:numPr>
          <w:ilvl w:val="0"/>
          <w:numId w:val="2"/>
        </w:numPr>
      </w:pPr>
      <w:r w:rsidRPr="00F607EA">
        <w:t>Manipulāciju saraksta izmaiņu reģistrs no 01102024</w:t>
      </w:r>
    </w:p>
    <w:p w14:paraId="3B610063" w14:textId="77777777" w:rsidR="00F607EA" w:rsidRPr="00F607EA" w:rsidRDefault="00F607EA" w:rsidP="00F607EA"/>
    <w:p w14:paraId="13589D26" w14:textId="080FD1D6" w:rsidR="00F607EA" w:rsidRPr="00F607EA" w:rsidRDefault="000D5078" w:rsidP="00F607EA">
      <w:r>
        <w:object w:dxaOrig="1520" w:dyaOrig="985" w14:anchorId="29228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6" o:title=""/>
          </v:shape>
          <o:OLEObject Type="Embed" ProgID="Excel.Sheet.12" ShapeID="_x0000_i1025" DrawAspect="Icon" ObjectID="_1789453258" r:id="rId7"/>
        </w:object>
      </w:r>
      <w:r>
        <w:object w:dxaOrig="1520" w:dyaOrig="985" w14:anchorId="61F1B91C">
          <v:shape id="_x0000_i1026" type="#_x0000_t75" style="width:75.75pt;height:49.5pt" o:ole="">
            <v:imagedata r:id="rId8" o:title=""/>
          </v:shape>
          <o:OLEObject Type="Embed" ProgID="Excel.Sheet.12" ShapeID="_x0000_i1026" DrawAspect="Icon" ObjectID="_1789453259" r:id="rId9"/>
        </w:object>
      </w:r>
    </w:p>
    <w:p w14:paraId="58AABFCF" w14:textId="77777777" w:rsidR="00380EC9" w:rsidRDefault="00380EC9"/>
    <w:sectPr w:rsidR="00380EC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6056C9B"/>
    <w:multiLevelType w:val="hybridMultilevel"/>
    <w:tmpl w:val="89D0724E"/>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16cid:durableId="18231602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31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EA"/>
    <w:rsid w:val="00002B6A"/>
    <w:rsid w:val="000D5078"/>
    <w:rsid w:val="00380EC9"/>
    <w:rsid w:val="007314AA"/>
    <w:rsid w:val="00F607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6F10"/>
  <w15:chartTrackingRefBased/>
  <w15:docId w15:val="{6579F83E-470A-4312-8BB8-13BA1ADE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0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0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7EA"/>
    <w:rPr>
      <w:rFonts w:eastAsiaTheme="majorEastAsia" w:cstheme="majorBidi"/>
      <w:color w:val="272727" w:themeColor="text1" w:themeTint="D8"/>
    </w:rPr>
  </w:style>
  <w:style w:type="paragraph" w:styleId="Title">
    <w:name w:val="Title"/>
    <w:basedOn w:val="Normal"/>
    <w:next w:val="Normal"/>
    <w:link w:val="TitleChar"/>
    <w:uiPriority w:val="10"/>
    <w:qFormat/>
    <w:rsid w:val="00F60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7EA"/>
    <w:pPr>
      <w:spacing w:before="160"/>
      <w:jc w:val="center"/>
    </w:pPr>
    <w:rPr>
      <w:i/>
      <w:iCs/>
      <w:color w:val="404040" w:themeColor="text1" w:themeTint="BF"/>
    </w:rPr>
  </w:style>
  <w:style w:type="character" w:customStyle="1" w:styleId="QuoteChar">
    <w:name w:val="Quote Char"/>
    <w:basedOn w:val="DefaultParagraphFont"/>
    <w:link w:val="Quote"/>
    <w:uiPriority w:val="29"/>
    <w:rsid w:val="00F607EA"/>
    <w:rPr>
      <w:i/>
      <w:iCs/>
      <w:color w:val="404040" w:themeColor="text1" w:themeTint="BF"/>
    </w:rPr>
  </w:style>
  <w:style w:type="paragraph" w:styleId="ListParagraph">
    <w:name w:val="List Paragraph"/>
    <w:basedOn w:val="Normal"/>
    <w:uiPriority w:val="34"/>
    <w:qFormat/>
    <w:rsid w:val="00F607EA"/>
    <w:pPr>
      <w:ind w:left="720"/>
      <w:contextualSpacing/>
    </w:pPr>
  </w:style>
  <w:style w:type="character" w:styleId="IntenseEmphasis">
    <w:name w:val="Intense Emphasis"/>
    <w:basedOn w:val="DefaultParagraphFont"/>
    <w:uiPriority w:val="21"/>
    <w:qFormat/>
    <w:rsid w:val="00F607EA"/>
    <w:rPr>
      <w:i/>
      <w:iCs/>
      <w:color w:val="0F4761" w:themeColor="accent1" w:themeShade="BF"/>
    </w:rPr>
  </w:style>
  <w:style w:type="paragraph" w:styleId="IntenseQuote">
    <w:name w:val="Intense Quote"/>
    <w:basedOn w:val="Normal"/>
    <w:next w:val="Normal"/>
    <w:link w:val="IntenseQuoteChar"/>
    <w:uiPriority w:val="30"/>
    <w:qFormat/>
    <w:rsid w:val="00F60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7EA"/>
    <w:rPr>
      <w:i/>
      <w:iCs/>
      <w:color w:val="0F4761" w:themeColor="accent1" w:themeShade="BF"/>
    </w:rPr>
  </w:style>
  <w:style w:type="character" w:styleId="IntenseReference">
    <w:name w:val="Intense Reference"/>
    <w:basedOn w:val="DefaultParagraphFont"/>
    <w:uiPriority w:val="32"/>
    <w:qFormat/>
    <w:rsid w:val="00F607EA"/>
    <w:rPr>
      <w:b/>
      <w:bCs/>
      <w:smallCaps/>
      <w:color w:val="0F4761" w:themeColor="accent1" w:themeShade="BF"/>
      <w:spacing w:val="5"/>
    </w:rPr>
  </w:style>
  <w:style w:type="character" w:styleId="Hyperlink">
    <w:name w:val="Hyperlink"/>
    <w:basedOn w:val="DefaultParagraphFont"/>
    <w:uiPriority w:val="99"/>
    <w:unhideWhenUsed/>
    <w:rsid w:val="00F607EA"/>
    <w:rPr>
      <w:color w:val="467886" w:themeColor="hyperlink"/>
      <w:u w:val="single"/>
    </w:rPr>
  </w:style>
  <w:style w:type="character" w:styleId="UnresolvedMention">
    <w:name w:val="Unresolved Mention"/>
    <w:basedOn w:val="DefaultParagraphFont"/>
    <w:uiPriority w:val="99"/>
    <w:semiHidden/>
    <w:unhideWhenUsed/>
    <w:rsid w:val="00F60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0438362">
      <w:bodyDiv w:val="1"/>
      <w:marLeft w:val="0"/>
      <w:marRight w:val="0"/>
      <w:marTop w:val="0"/>
      <w:marBottom w:val="0"/>
      <w:divBdr>
        <w:top w:val="none" w:sz="0" w:space="0" w:color="auto"/>
        <w:left w:val="none" w:sz="0" w:space="0" w:color="auto"/>
        <w:bottom w:val="none" w:sz="0" w:space="0" w:color="auto"/>
        <w:right w:val="none" w:sz="0" w:space="0" w:color="auto"/>
      </w:divBdr>
    </w:div>
    <w:div w:id="182092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package" Target="embeddings/Microsoft_Excel_Worksheet.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http://www.vmnvd.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2194</Words>
  <Characters>1251</Characters>
  <Application>Microsoft Office Word</Application>
  <DocSecurity>0</DocSecurity>
  <Lines>10</Lines>
  <Paragraphs>6</Paragraphs>
  <ScaleCrop>false</ScaleCrop>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2</cp:revision>
  <dcterms:created xsi:type="dcterms:W3CDTF">2024-10-03T06:32:00Z</dcterms:created>
  <dcterms:modified xsi:type="dcterms:W3CDTF">2024-10-03T06:35:00Z</dcterms:modified>
</cp:coreProperties>
</file>