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B7E8B" w14:textId="77777777" w:rsidR="00A24A6B" w:rsidRPr="00D5053F" w:rsidRDefault="003F3C3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74751FA5" wp14:editId="4C4BDFC5">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15D478E3" wp14:editId="132E5AA9">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1EC93776"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5DC25D55" w14:textId="77777777" w:rsidR="00E46A48" w:rsidRDefault="003F3C3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25"/>
        <w:gridCol w:w="3646"/>
      </w:tblGrid>
      <w:tr w:rsidR="008A5729" w14:paraId="704EE739" w14:textId="77777777" w:rsidTr="00C5711F">
        <w:trPr>
          <w:trHeight w:val="313"/>
        </w:trPr>
        <w:tc>
          <w:tcPr>
            <w:tcW w:w="5495" w:type="dxa"/>
            <w:shd w:val="clear" w:color="auto" w:fill="auto"/>
          </w:tcPr>
          <w:p w14:paraId="0483609F" w14:textId="77777777" w:rsidR="00222B8B" w:rsidRDefault="003F3C3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1-8.2/2024/1595</w:t>
            </w:r>
          </w:p>
          <w:p w14:paraId="3F1E65F7" w14:textId="77777777" w:rsidR="002079F2" w:rsidRPr="00CB2202" w:rsidRDefault="002079F2" w:rsidP="00222B8B">
            <w:pPr>
              <w:tabs>
                <w:tab w:val="left" w:pos="0"/>
                <w:tab w:val="left" w:pos="7371"/>
              </w:tabs>
              <w:rPr>
                <w:sz w:val="24"/>
                <w:szCs w:val="24"/>
              </w:rPr>
            </w:pPr>
          </w:p>
        </w:tc>
        <w:tc>
          <w:tcPr>
            <w:tcW w:w="3685" w:type="dxa"/>
            <w:shd w:val="clear" w:color="auto" w:fill="auto"/>
          </w:tcPr>
          <w:p w14:paraId="0C3A8309" w14:textId="77777777" w:rsidR="00850327" w:rsidRDefault="003F3C30" w:rsidP="00850327">
            <w:pPr>
              <w:tabs>
                <w:tab w:val="left" w:pos="0"/>
                <w:tab w:val="left" w:pos="7371"/>
              </w:tabs>
              <w:rPr>
                <w:noProof/>
                <w:sz w:val="24"/>
                <w:szCs w:val="24"/>
              </w:rPr>
            </w:pPr>
            <w:r>
              <w:rPr>
                <w:noProof/>
                <w:sz w:val="24"/>
                <w:szCs w:val="24"/>
              </w:rPr>
              <w:t>Ārstniecības iestādēm (pēc pievienotā saraksta)</w:t>
            </w:r>
          </w:p>
          <w:p w14:paraId="3BC19CA1" w14:textId="77777777" w:rsidR="00850327" w:rsidRDefault="003F3C30" w:rsidP="00850327">
            <w:pPr>
              <w:tabs>
                <w:tab w:val="left" w:pos="0"/>
                <w:tab w:val="left" w:pos="7371"/>
              </w:tabs>
              <w:rPr>
                <w:noProof/>
                <w:sz w:val="24"/>
                <w:szCs w:val="24"/>
              </w:rPr>
            </w:pPr>
            <w:r>
              <w:rPr>
                <w:noProof/>
                <w:sz w:val="24"/>
                <w:szCs w:val="24"/>
              </w:rPr>
              <w:t>Latvijas Ģimenes ārstu asociācija</w:t>
            </w:r>
          </w:p>
          <w:p w14:paraId="0DA29459" w14:textId="77777777" w:rsidR="00850327" w:rsidRDefault="003F3C30" w:rsidP="00850327">
            <w:pPr>
              <w:tabs>
                <w:tab w:val="left" w:pos="0"/>
                <w:tab w:val="left" w:pos="7371"/>
              </w:tabs>
              <w:rPr>
                <w:noProof/>
                <w:sz w:val="24"/>
                <w:szCs w:val="24"/>
              </w:rPr>
            </w:pPr>
            <w:r>
              <w:rPr>
                <w:noProof/>
                <w:sz w:val="24"/>
                <w:szCs w:val="24"/>
              </w:rPr>
              <w:t xml:space="preserve">Latvijas Lauku </w:t>
            </w:r>
            <w:r>
              <w:rPr>
                <w:noProof/>
                <w:sz w:val="24"/>
                <w:szCs w:val="24"/>
              </w:rPr>
              <w:t>ģimenes ārstu asociācija</w:t>
            </w:r>
          </w:p>
          <w:p w14:paraId="3121D53A" w14:textId="77777777" w:rsidR="002079F2" w:rsidRDefault="003F3C30" w:rsidP="00850327">
            <w:pPr>
              <w:tabs>
                <w:tab w:val="left" w:pos="0"/>
                <w:tab w:val="left" w:pos="7371"/>
              </w:tabs>
              <w:rPr>
                <w:noProof/>
                <w:sz w:val="24"/>
                <w:szCs w:val="24"/>
              </w:rPr>
            </w:pPr>
            <w:r>
              <w:rPr>
                <w:noProof/>
                <w:sz w:val="24"/>
                <w:szCs w:val="24"/>
              </w:rPr>
              <w:t>Latvijas Pediatru asociācija</w:t>
            </w:r>
          </w:p>
          <w:p w14:paraId="79FDE311" w14:textId="77777777" w:rsidR="00850327" w:rsidRDefault="00850327" w:rsidP="00850327">
            <w:pPr>
              <w:tabs>
                <w:tab w:val="left" w:pos="0"/>
                <w:tab w:val="left" w:pos="7371"/>
              </w:tabs>
              <w:rPr>
                <w:noProof/>
                <w:sz w:val="24"/>
                <w:szCs w:val="24"/>
              </w:rPr>
            </w:pPr>
          </w:p>
          <w:p w14:paraId="1BFCEA94" w14:textId="77777777" w:rsidR="00850327" w:rsidRDefault="003F3C30" w:rsidP="00850327">
            <w:pPr>
              <w:tabs>
                <w:tab w:val="left" w:pos="0"/>
                <w:tab w:val="left" w:pos="7371"/>
              </w:tabs>
              <w:rPr>
                <w:noProof/>
                <w:sz w:val="24"/>
                <w:szCs w:val="24"/>
              </w:rPr>
            </w:pPr>
            <w:r>
              <w:rPr>
                <w:noProof/>
                <w:sz w:val="24"/>
                <w:szCs w:val="24"/>
              </w:rPr>
              <w:t>Zināšanai: Nacionālajam veselības dienestam</w:t>
            </w:r>
          </w:p>
          <w:p w14:paraId="50BFFCB7" w14:textId="77777777" w:rsidR="00850327" w:rsidRDefault="003F3C30" w:rsidP="00850327">
            <w:pPr>
              <w:tabs>
                <w:tab w:val="left" w:pos="0"/>
                <w:tab w:val="left" w:pos="7371"/>
              </w:tabs>
              <w:rPr>
                <w:sz w:val="24"/>
                <w:szCs w:val="24"/>
              </w:rPr>
            </w:pPr>
            <w:r>
              <w:rPr>
                <w:noProof/>
                <w:sz w:val="24"/>
                <w:szCs w:val="24"/>
              </w:rPr>
              <w:t>Veselības inspekcijai</w:t>
            </w:r>
          </w:p>
        </w:tc>
      </w:tr>
    </w:tbl>
    <w:p w14:paraId="1E096162" w14:textId="77777777" w:rsidR="002079F2" w:rsidRPr="00195A3A" w:rsidRDefault="003F3C3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novēlotu vakcinācijas faktu ievadi vienotajā veselības nozares elektroniskajā informācijas sistēmā</w:t>
      </w:r>
    </w:p>
    <w:p w14:paraId="68E9A0D3" w14:textId="77777777" w:rsidR="005977A1" w:rsidRPr="5359D091" w:rsidRDefault="003F3C30" w:rsidP="005977A1">
      <w:pPr>
        <w:ind w:firstLine="720"/>
        <w:jc w:val="both"/>
        <w:rPr>
          <w:rFonts w:asciiTheme="majorBidi" w:hAnsiTheme="majorBidi" w:cstheme="majorBidi"/>
          <w:sz w:val="24"/>
          <w:szCs w:val="24"/>
        </w:rPr>
      </w:pPr>
      <w:r w:rsidRPr="12DBE3F1">
        <w:rPr>
          <w:rFonts w:asciiTheme="majorBidi" w:hAnsiTheme="majorBidi" w:cstheme="majorBidi"/>
          <w:sz w:val="24"/>
          <w:szCs w:val="24"/>
        </w:rPr>
        <w:t xml:space="preserve">Slimību profilakses un kontroles centrs (turpmāk </w:t>
      </w:r>
      <w:r w:rsidRPr="12DBE3F1">
        <w:rPr>
          <w:rFonts w:asciiTheme="majorBidi" w:eastAsia="Calibri" w:hAnsiTheme="majorBidi" w:cstheme="majorBidi"/>
          <w:sz w:val="24"/>
          <w:szCs w:val="24"/>
        </w:rPr>
        <w:t>–</w:t>
      </w:r>
      <w:r w:rsidRPr="12DBE3F1">
        <w:rPr>
          <w:rFonts w:asciiTheme="majorBidi" w:hAnsiTheme="majorBidi" w:cstheme="majorBidi"/>
          <w:sz w:val="24"/>
          <w:szCs w:val="24"/>
        </w:rPr>
        <w:t xml:space="preserve"> Centrs), veicot vienotajā veselības nozares elektroniskajā informācijas sistēmā (turpmāk – E-veselības sistēma) reģistrēto vakcinācijas faktu datu analīzi par valsts apmaksātajām vakcinācijām, ir identificējis 797 </w:t>
      </w:r>
      <w:r w:rsidRPr="526A5CC1">
        <w:rPr>
          <w:rFonts w:asciiTheme="majorBidi" w:hAnsiTheme="majorBidi" w:cstheme="majorBidi"/>
          <w:sz w:val="24"/>
          <w:szCs w:val="24"/>
        </w:rPr>
        <w:t xml:space="preserve">(69%) </w:t>
      </w:r>
      <w:r w:rsidRPr="12DBE3F1">
        <w:rPr>
          <w:rFonts w:asciiTheme="majorBidi" w:hAnsiTheme="majorBidi" w:cstheme="majorBidi"/>
          <w:sz w:val="24"/>
          <w:szCs w:val="24"/>
        </w:rPr>
        <w:t>ārstniecības iestādes, kuras kopš 2024. gada sākuma ir ievadījušas 23 516 vakcinācijas faktus ar vairāk kā 7 dienu nokavējumu no faktiskās vakcinācijas datuma. Turklāt</w:t>
      </w:r>
      <w:r>
        <w:rPr>
          <w:rFonts w:asciiTheme="majorBidi" w:hAnsiTheme="majorBidi" w:cstheme="majorBidi"/>
          <w:sz w:val="24"/>
          <w:szCs w:val="24"/>
        </w:rPr>
        <w:t xml:space="preserve"> no tām</w:t>
      </w:r>
      <w:r w:rsidRPr="12DBE3F1">
        <w:rPr>
          <w:rFonts w:asciiTheme="majorBidi" w:hAnsiTheme="majorBidi" w:cstheme="majorBidi"/>
          <w:sz w:val="24"/>
          <w:szCs w:val="24"/>
        </w:rPr>
        <w:t xml:space="preserve"> </w:t>
      </w:r>
      <w:r>
        <w:rPr>
          <w:rFonts w:asciiTheme="majorBidi" w:hAnsiTheme="majorBidi" w:cstheme="majorBidi"/>
          <w:sz w:val="24"/>
          <w:szCs w:val="24"/>
        </w:rPr>
        <w:t>496</w:t>
      </w:r>
      <w:r w:rsidRPr="12DBE3F1">
        <w:rPr>
          <w:rFonts w:asciiTheme="majorBidi" w:hAnsiTheme="majorBidi" w:cstheme="majorBidi"/>
          <w:sz w:val="24"/>
          <w:szCs w:val="24"/>
        </w:rPr>
        <w:t xml:space="preserve"> vakcinācijas iestādes reģistrēja </w:t>
      </w:r>
      <w:r>
        <w:rPr>
          <w:rFonts w:asciiTheme="majorBidi" w:hAnsiTheme="majorBidi" w:cstheme="majorBidi"/>
          <w:sz w:val="24"/>
          <w:szCs w:val="24"/>
        </w:rPr>
        <w:t>5013</w:t>
      </w:r>
      <w:r w:rsidRPr="12DBE3F1">
        <w:rPr>
          <w:rFonts w:asciiTheme="majorBidi" w:hAnsiTheme="majorBidi" w:cstheme="majorBidi"/>
          <w:sz w:val="24"/>
          <w:szCs w:val="24"/>
        </w:rPr>
        <w:t xml:space="preserve"> vakcinācijas faktus </w:t>
      </w:r>
      <w:r>
        <w:rPr>
          <w:rFonts w:asciiTheme="majorBidi" w:hAnsiTheme="majorBidi" w:cstheme="majorBidi"/>
          <w:sz w:val="24"/>
          <w:szCs w:val="24"/>
        </w:rPr>
        <w:t>vairāk</w:t>
      </w:r>
      <w:r w:rsidRPr="12DBE3F1">
        <w:rPr>
          <w:rFonts w:asciiTheme="majorBidi" w:hAnsiTheme="majorBidi" w:cstheme="majorBidi"/>
          <w:sz w:val="24"/>
          <w:szCs w:val="24"/>
        </w:rPr>
        <w:t xml:space="preserve"> par vienu mēnesi </w:t>
      </w:r>
      <w:r>
        <w:rPr>
          <w:rFonts w:asciiTheme="majorBidi" w:hAnsiTheme="majorBidi" w:cstheme="majorBidi"/>
          <w:sz w:val="24"/>
          <w:szCs w:val="24"/>
        </w:rPr>
        <w:t xml:space="preserve">vēlāk </w:t>
      </w:r>
      <w:r w:rsidRPr="12DBE3F1">
        <w:rPr>
          <w:rFonts w:asciiTheme="majorBidi" w:hAnsiTheme="majorBidi" w:cstheme="majorBidi"/>
          <w:sz w:val="24"/>
          <w:szCs w:val="24"/>
        </w:rPr>
        <w:t>kopš vakcinācijas diena</w:t>
      </w:r>
      <w:r w:rsidRPr="12DBE3F1">
        <w:rPr>
          <w:rFonts w:asciiTheme="majorBidi" w:hAnsiTheme="majorBidi" w:cstheme="majorBidi"/>
          <w:sz w:val="24"/>
          <w:szCs w:val="24"/>
        </w:rPr>
        <w:t xml:space="preserve">s. Kopumā </w:t>
      </w:r>
      <w:r>
        <w:rPr>
          <w:rFonts w:asciiTheme="majorBidi" w:hAnsiTheme="majorBidi" w:cstheme="majorBidi"/>
          <w:sz w:val="24"/>
          <w:szCs w:val="24"/>
        </w:rPr>
        <w:t>5,4</w:t>
      </w:r>
      <w:r w:rsidRPr="12DBE3F1">
        <w:rPr>
          <w:rFonts w:asciiTheme="majorBidi" w:hAnsiTheme="majorBidi" w:cstheme="majorBidi"/>
          <w:sz w:val="24"/>
          <w:szCs w:val="24"/>
        </w:rPr>
        <w:t xml:space="preserve"> % vakcinācijas faktu nebija laikus reģistrēti. </w:t>
      </w:r>
    </w:p>
    <w:p w14:paraId="65CBAFA4" w14:textId="77777777" w:rsidR="005977A1" w:rsidRDefault="003F3C30" w:rsidP="005977A1">
      <w:pPr>
        <w:ind w:firstLine="720"/>
        <w:jc w:val="both"/>
        <w:rPr>
          <w:rFonts w:asciiTheme="majorBidi" w:hAnsiTheme="majorBidi" w:cstheme="majorBidi"/>
          <w:sz w:val="24"/>
          <w:szCs w:val="24"/>
        </w:rPr>
      </w:pPr>
      <w:r w:rsidRPr="5C0F5724">
        <w:rPr>
          <w:rFonts w:asciiTheme="majorBidi" w:hAnsiTheme="majorBidi" w:cstheme="majorBidi"/>
          <w:sz w:val="24"/>
          <w:szCs w:val="24"/>
        </w:rPr>
        <w:t>Ministru kabineta 2000. gada 26. septembra noteikumu Nr. 330 “Vakcinācijas noteikumi”  10.2.1. punkts nosaka, ka vakcinācijas iestādes</w:t>
      </w:r>
      <w:r w:rsidRPr="00353CB4">
        <w:rPr>
          <w:rFonts w:asciiTheme="majorBidi" w:eastAsiaTheme="minorEastAsia" w:hAnsiTheme="majorBidi" w:cstheme="majorBidi"/>
          <w:sz w:val="24"/>
          <w:szCs w:val="24"/>
        </w:rPr>
        <w:t xml:space="preserve"> </w:t>
      </w:r>
      <w:r w:rsidRPr="5C0F5724">
        <w:rPr>
          <w:rFonts w:asciiTheme="majorBidi" w:eastAsiaTheme="minorEastAsia" w:hAnsiTheme="majorBidi" w:cstheme="majorBidi"/>
          <w:sz w:val="24"/>
          <w:szCs w:val="24"/>
        </w:rPr>
        <w:t>piecu dienu laikā sniedz informāciju par veiktas vakcinācijas faktu tieši vai netieši E-veselības sistēmā.</w:t>
      </w:r>
    </w:p>
    <w:p w14:paraId="521E237C" w14:textId="77777777" w:rsidR="005977A1" w:rsidRDefault="003F3C30" w:rsidP="005977A1">
      <w:pPr>
        <w:ind w:firstLine="720"/>
        <w:jc w:val="both"/>
        <w:rPr>
          <w:rFonts w:asciiTheme="majorBidi" w:eastAsiaTheme="minorEastAsia" w:hAnsiTheme="majorBidi" w:cstheme="majorBidi"/>
          <w:sz w:val="24"/>
          <w:szCs w:val="24"/>
        </w:rPr>
      </w:pPr>
      <w:r w:rsidRPr="5D9A768A">
        <w:rPr>
          <w:rFonts w:asciiTheme="majorBidi" w:eastAsiaTheme="minorEastAsia" w:hAnsiTheme="majorBidi" w:cstheme="majorBidi"/>
          <w:sz w:val="24"/>
          <w:szCs w:val="24"/>
        </w:rPr>
        <w:t>Centrs izvērtēja un salīdzināja 2022., 2023. un 2024. gada janvārī – septembrī uzskaitīto valsts apmaksāto rutīnas vakcināciju fakt</w:t>
      </w:r>
      <w:r>
        <w:rPr>
          <w:rFonts w:asciiTheme="majorBidi" w:eastAsiaTheme="minorEastAsia" w:hAnsiTheme="majorBidi" w:cstheme="majorBidi"/>
          <w:sz w:val="24"/>
          <w:szCs w:val="24"/>
        </w:rPr>
        <w:t>u</w:t>
      </w:r>
      <w:r w:rsidRPr="5D9A768A">
        <w:rPr>
          <w:rFonts w:asciiTheme="majorBidi" w:eastAsiaTheme="minorEastAsia" w:hAnsiTheme="majorBidi" w:cstheme="majorBidi"/>
          <w:sz w:val="24"/>
          <w:szCs w:val="24"/>
        </w:rPr>
        <w:t xml:space="preserve"> skaitu, kas liecina par strauju vakcināciju skaita samazināšanos 2024. </w:t>
      </w:r>
      <w:r>
        <w:rPr>
          <w:rFonts w:asciiTheme="majorBidi" w:eastAsiaTheme="minorEastAsia" w:hAnsiTheme="majorBidi" w:cstheme="majorBidi"/>
          <w:sz w:val="24"/>
          <w:szCs w:val="24"/>
        </w:rPr>
        <w:t>g</w:t>
      </w:r>
      <w:r w:rsidRPr="5D9A768A">
        <w:rPr>
          <w:rFonts w:asciiTheme="majorBidi" w:eastAsiaTheme="minorEastAsia" w:hAnsiTheme="majorBidi" w:cstheme="majorBidi"/>
          <w:sz w:val="24"/>
          <w:szCs w:val="24"/>
        </w:rPr>
        <w:t>adā (skatīt tabulu</w:t>
      </w:r>
      <w:r>
        <w:rPr>
          <w:rFonts w:asciiTheme="majorBidi" w:eastAsiaTheme="minorEastAsia" w:hAnsiTheme="majorBidi" w:cstheme="majorBidi"/>
          <w:sz w:val="24"/>
          <w:szCs w:val="24"/>
        </w:rPr>
        <w:t xml:space="preserve"> zemāk</w:t>
      </w:r>
      <w:r w:rsidRPr="5D9A768A">
        <w:rPr>
          <w:rFonts w:asciiTheme="majorBidi" w:eastAsiaTheme="minorEastAsia" w:hAnsiTheme="majorBidi" w:cstheme="majorBidi"/>
          <w:sz w:val="24"/>
          <w:szCs w:val="24"/>
        </w:rPr>
        <w:t xml:space="preserve">). </w:t>
      </w:r>
    </w:p>
    <w:p w14:paraId="69441E04" w14:textId="77777777" w:rsidR="005977A1" w:rsidRDefault="005977A1" w:rsidP="005977A1">
      <w:pPr>
        <w:jc w:val="center"/>
        <w:rPr>
          <w:rFonts w:asciiTheme="majorBidi" w:eastAsiaTheme="minorEastAsia" w:hAnsiTheme="majorBidi" w:cstheme="majorBidi"/>
          <w:i/>
          <w:iCs/>
          <w:sz w:val="24"/>
          <w:szCs w:val="24"/>
        </w:rPr>
      </w:pPr>
    </w:p>
    <w:p w14:paraId="754074B7" w14:textId="77777777" w:rsidR="005977A1" w:rsidRDefault="003F3C30" w:rsidP="005977A1">
      <w:pPr>
        <w:jc w:val="center"/>
        <w:rPr>
          <w:rFonts w:asciiTheme="majorBidi" w:eastAsiaTheme="minorEastAsia" w:hAnsiTheme="majorBidi" w:cstheme="majorBidi"/>
          <w:sz w:val="24"/>
          <w:szCs w:val="24"/>
        </w:rPr>
      </w:pPr>
      <w:r w:rsidRPr="00775089">
        <w:rPr>
          <w:rFonts w:asciiTheme="majorBidi" w:eastAsiaTheme="minorEastAsia" w:hAnsiTheme="majorBidi" w:cstheme="majorBidi"/>
          <w:i/>
          <w:iCs/>
          <w:sz w:val="24"/>
          <w:szCs w:val="24"/>
        </w:rPr>
        <w:t>Tabula</w:t>
      </w:r>
      <w:r w:rsidRPr="5D9A768A">
        <w:rPr>
          <w:rFonts w:asciiTheme="majorBidi" w:eastAsiaTheme="minorEastAsia" w:hAnsiTheme="majorBidi" w:cstheme="majorBidi"/>
          <w:sz w:val="24"/>
          <w:szCs w:val="24"/>
        </w:rPr>
        <w:t xml:space="preserve">. 2022., 2023. un 2024. gadā janvārī </w:t>
      </w:r>
      <w:r w:rsidRPr="5D9A768A">
        <w:rPr>
          <w:rFonts w:asciiTheme="majorBidi" w:eastAsia="Calibri" w:hAnsiTheme="majorBidi" w:cstheme="majorBidi"/>
          <w:sz w:val="24"/>
          <w:szCs w:val="24"/>
        </w:rPr>
        <w:t>–</w:t>
      </w:r>
      <w:r w:rsidRPr="5D9A768A">
        <w:rPr>
          <w:rFonts w:asciiTheme="majorBidi" w:eastAsiaTheme="minorEastAsia" w:hAnsiTheme="majorBidi" w:cstheme="majorBidi"/>
          <w:sz w:val="24"/>
          <w:szCs w:val="24"/>
        </w:rPr>
        <w:t xml:space="preserve"> septembrī uzskaitīto valsts apmaksāto rutīnas vakcināciju faktu skaits</w:t>
      </w:r>
    </w:p>
    <w:tbl>
      <w:tblPr>
        <w:tblW w:w="0" w:type="auto"/>
        <w:tblLayout w:type="fixed"/>
        <w:tblLook w:val="06A0" w:firstRow="1" w:lastRow="0" w:firstColumn="1" w:lastColumn="0" w:noHBand="1" w:noVBand="1"/>
      </w:tblPr>
      <w:tblGrid>
        <w:gridCol w:w="4086"/>
        <w:gridCol w:w="1972"/>
        <w:gridCol w:w="1510"/>
        <w:gridCol w:w="1889"/>
      </w:tblGrid>
      <w:tr w:rsidR="008A5729" w14:paraId="69AF5B31" w14:textId="77777777" w:rsidTr="002C316A">
        <w:trPr>
          <w:trHeight w:val="300"/>
        </w:trPr>
        <w:tc>
          <w:tcPr>
            <w:tcW w:w="40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CA7496" w14:textId="77777777" w:rsidR="005977A1" w:rsidRPr="00353CB4" w:rsidRDefault="003F3C30" w:rsidP="002C316A">
            <w:pPr>
              <w:jc w:val="right"/>
              <w:rPr>
                <w:rFonts w:asciiTheme="majorBidi" w:eastAsiaTheme="minorEastAsia" w:hAnsiTheme="majorBidi" w:cstheme="majorBidi"/>
                <w:sz w:val="24"/>
                <w:szCs w:val="24"/>
              </w:rPr>
            </w:pPr>
            <w:r w:rsidRPr="5D9A768A">
              <w:rPr>
                <w:rFonts w:asciiTheme="majorBidi" w:eastAsiaTheme="minorEastAsia" w:hAnsiTheme="majorBidi" w:cstheme="majorBidi"/>
                <w:sz w:val="24"/>
                <w:szCs w:val="24"/>
              </w:rPr>
              <w:t xml:space="preserve">Gadi </w:t>
            </w:r>
          </w:p>
        </w:tc>
        <w:tc>
          <w:tcPr>
            <w:tcW w:w="1972" w:type="dxa"/>
            <w:tcBorders>
              <w:top w:val="single" w:sz="4" w:space="0" w:color="auto"/>
              <w:bottom w:val="single" w:sz="4" w:space="0" w:color="auto"/>
              <w:right w:val="single" w:sz="4" w:space="0" w:color="auto"/>
            </w:tcBorders>
            <w:tcMar>
              <w:top w:w="15" w:type="dxa"/>
              <w:left w:w="15" w:type="dxa"/>
              <w:right w:w="15" w:type="dxa"/>
            </w:tcMar>
            <w:vAlign w:val="bottom"/>
          </w:tcPr>
          <w:p w14:paraId="25E76BBF" w14:textId="77777777" w:rsidR="005977A1" w:rsidRPr="00353CB4" w:rsidRDefault="003F3C30" w:rsidP="002C316A">
            <w:pPr>
              <w:jc w:val="center"/>
              <w:rPr>
                <w:rFonts w:asciiTheme="majorBidi" w:eastAsiaTheme="minorEastAsia" w:hAnsiTheme="majorBidi" w:cstheme="majorBidi"/>
                <w:sz w:val="24"/>
                <w:szCs w:val="24"/>
              </w:rPr>
            </w:pPr>
            <w:r w:rsidRPr="00353CB4">
              <w:rPr>
                <w:rFonts w:asciiTheme="majorBidi" w:eastAsiaTheme="minorEastAsia" w:hAnsiTheme="majorBidi" w:cstheme="majorBidi"/>
                <w:sz w:val="24"/>
                <w:szCs w:val="24"/>
              </w:rPr>
              <w:t xml:space="preserve">2022. </w:t>
            </w:r>
            <w:r w:rsidRPr="5D9A768A">
              <w:rPr>
                <w:rFonts w:asciiTheme="majorBidi" w:eastAsiaTheme="minorEastAsia" w:hAnsiTheme="majorBidi" w:cstheme="majorBidi"/>
                <w:sz w:val="24"/>
                <w:szCs w:val="24"/>
              </w:rPr>
              <w:t>g.</w:t>
            </w:r>
          </w:p>
        </w:tc>
        <w:tc>
          <w:tcPr>
            <w:tcW w:w="1510" w:type="dxa"/>
            <w:tcBorders>
              <w:top w:val="single" w:sz="4" w:space="0" w:color="auto"/>
              <w:bottom w:val="single" w:sz="4" w:space="0" w:color="auto"/>
              <w:right w:val="single" w:sz="4" w:space="0" w:color="auto"/>
            </w:tcBorders>
            <w:tcMar>
              <w:top w:w="15" w:type="dxa"/>
              <w:left w:w="15" w:type="dxa"/>
              <w:right w:w="15" w:type="dxa"/>
            </w:tcMar>
            <w:vAlign w:val="bottom"/>
          </w:tcPr>
          <w:p w14:paraId="3A1D3C47" w14:textId="77777777" w:rsidR="005977A1" w:rsidRPr="00353CB4" w:rsidRDefault="003F3C30" w:rsidP="002C316A">
            <w:pPr>
              <w:jc w:val="center"/>
              <w:rPr>
                <w:rFonts w:asciiTheme="majorBidi" w:eastAsiaTheme="minorEastAsia" w:hAnsiTheme="majorBidi" w:cstheme="majorBidi"/>
                <w:sz w:val="24"/>
                <w:szCs w:val="24"/>
              </w:rPr>
            </w:pPr>
            <w:r w:rsidRPr="00353CB4">
              <w:rPr>
                <w:rFonts w:asciiTheme="majorBidi" w:eastAsiaTheme="minorEastAsia" w:hAnsiTheme="majorBidi" w:cstheme="majorBidi"/>
                <w:sz w:val="24"/>
                <w:szCs w:val="24"/>
              </w:rPr>
              <w:t>2023. g</w:t>
            </w:r>
            <w:r w:rsidRPr="5D9A768A">
              <w:rPr>
                <w:rFonts w:asciiTheme="majorBidi" w:eastAsiaTheme="minorEastAsia" w:hAnsiTheme="majorBidi" w:cstheme="majorBidi"/>
                <w:sz w:val="24"/>
                <w:szCs w:val="24"/>
              </w:rPr>
              <w:t>.</w:t>
            </w:r>
          </w:p>
        </w:tc>
        <w:tc>
          <w:tcPr>
            <w:tcW w:w="1889" w:type="dxa"/>
            <w:tcBorders>
              <w:top w:val="single" w:sz="4" w:space="0" w:color="auto"/>
              <w:bottom w:val="single" w:sz="4" w:space="0" w:color="auto"/>
              <w:right w:val="single" w:sz="4" w:space="0" w:color="auto"/>
            </w:tcBorders>
            <w:tcMar>
              <w:top w:w="15" w:type="dxa"/>
              <w:left w:w="15" w:type="dxa"/>
              <w:right w:w="15" w:type="dxa"/>
            </w:tcMar>
            <w:vAlign w:val="bottom"/>
          </w:tcPr>
          <w:p w14:paraId="0E9E4AFC" w14:textId="77777777" w:rsidR="005977A1" w:rsidRPr="00353CB4" w:rsidRDefault="003F3C30" w:rsidP="002C316A">
            <w:pPr>
              <w:jc w:val="center"/>
              <w:rPr>
                <w:rFonts w:asciiTheme="majorBidi" w:eastAsiaTheme="minorEastAsia" w:hAnsiTheme="majorBidi" w:cstheme="majorBidi"/>
                <w:sz w:val="24"/>
                <w:szCs w:val="24"/>
              </w:rPr>
            </w:pPr>
            <w:r w:rsidRPr="00353CB4">
              <w:rPr>
                <w:rFonts w:asciiTheme="majorBidi" w:eastAsiaTheme="minorEastAsia" w:hAnsiTheme="majorBidi" w:cstheme="majorBidi"/>
                <w:sz w:val="24"/>
                <w:szCs w:val="24"/>
              </w:rPr>
              <w:t>2024. g</w:t>
            </w:r>
            <w:r w:rsidRPr="5D9A768A">
              <w:rPr>
                <w:rFonts w:asciiTheme="majorBidi" w:eastAsiaTheme="minorEastAsia" w:hAnsiTheme="majorBidi" w:cstheme="majorBidi"/>
                <w:sz w:val="24"/>
                <w:szCs w:val="24"/>
              </w:rPr>
              <w:t>.</w:t>
            </w:r>
          </w:p>
        </w:tc>
      </w:tr>
      <w:tr w:rsidR="008A5729" w14:paraId="35BB5BD9" w14:textId="77777777" w:rsidTr="002C316A">
        <w:trPr>
          <w:trHeight w:val="300"/>
        </w:trPr>
        <w:tc>
          <w:tcPr>
            <w:tcW w:w="4086" w:type="dxa"/>
            <w:tcBorders>
              <w:left w:val="single" w:sz="4" w:space="0" w:color="auto"/>
              <w:bottom w:val="single" w:sz="4" w:space="0" w:color="auto"/>
              <w:right w:val="single" w:sz="4" w:space="0" w:color="auto"/>
            </w:tcBorders>
            <w:tcMar>
              <w:top w:w="15" w:type="dxa"/>
              <w:left w:w="15" w:type="dxa"/>
              <w:right w:w="15" w:type="dxa"/>
            </w:tcMar>
            <w:vAlign w:val="bottom"/>
          </w:tcPr>
          <w:p w14:paraId="074A691B" w14:textId="77777777" w:rsidR="005977A1" w:rsidRPr="00353CB4" w:rsidRDefault="003F3C30" w:rsidP="002C316A">
            <w:pPr>
              <w:rPr>
                <w:rFonts w:asciiTheme="majorBidi" w:eastAsiaTheme="minorEastAsia" w:hAnsiTheme="majorBidi" w:cstheme="majorBidi"/>
                <w:sz w:val="24"/>
                <w:szCs w:val="24"/>
              </w:rPr>
            </w:pPr>
            <w:r w:rsidRPr="00353CB4">
              <w:rPr>
                <w:rFonts w:asciiTheme="majorBidi" w:eastAsiaTheme="minorEastAsia" w:hAnsiTheme="majorBidi" w:cstheme="majorBidi"/>
                <w:sz w:val="24"/>
                <w:szCs w:val="24"/>
              </w:rPr>
              <w:t xml:space="preserve">Kopā </w:t>
            </w:r>
            <w:r w:rsidRPr="5D9A768A">
              <w:rPr>
                <w:rFonts w:asciiTheme="majorBidi" w:eastAsiaTheme="minorEastAsia" w:hAnsiTheme="majorBidi" w:cstheme="majorBidi"/>
                <w:sz w:val="24"/>
                <w:szCs w:val="24"/>
              </w:rPr>
              <w:t xml:space="preserve">reģistrēti </w:t>
            </w:r>
            <w:r w:rsidRPr="00353CB4">
              <w:rPr>
                <w:rFonts w:asciiTheme="majorBidi" w:eastAsiaTheme="minorEastAsia" w:hAnsiTheme="majorBidi" w:cstheme="majorBidi"/>
                <w:sz w:val="24"/>
                <w:szCs w:val="24"/>
              </w:rPr>
              <w:t>vakcinācijas fakti</w:t>
            </w:r>
          </w:p>
        </w:tc>
        <w:tc>
          <w:tcPr>
            <w:tcW w:w="1972" w:type="dxa"/>
            <w:tcBorders>
              <w:bottom w:val="single" w:sz="4" w:space="0" w:color="auto"/>
              <w:right w:val="single" w:sz="4" w:space="0" w:color="auto"/>
            </w:tcBorders>
            <w:tcMar>
              <w:top w:w="15" w:type="dxa"/>
              <w:left w:w="15" w:type="dxa"/>
              <w:right w:w="15" w:type="dxa"/>
            </w:tcMar>
            <w:vAlign w:val="bottom"/>
          </w:tcPr>
          <w:p w14:paraId="4CAEDF6A" w14:textId="77777777" w:rsidR="005977A1" w:rsidRPr="00353CB4" w:rsidRDefault="003F3C30" w:rsidP="002C316A">
            <w:pPr>
              <w:jc w:val="center"/>
              <w:rPr>
                <w:rFonts w:asciiTheme="majorBidi" w:eastAsiaTheme="minorEastAsia" w:hAnsiTheme="majorBidi" w:cstheme="majorBidi"/>
                <w:sz w:val="24"/>
                <w:szCs w:val="24"/>
              </w:rPr>
            </w:pPr>
            <w:r w:rsidRPr="00353CB4">
              <w:rPr>
                <w:rFonts w:asciiTheme="majorBidi" w:eastAsiaTheme="minorEastAsia" w:hAnsiTheme="majorBidi" w:cstheme="majorBidi"/>
                <w:sz w:val="24"/>
                <w:szCs w:val="24"/>
              </w:rPr>
              <w:t>321852</w:t>
            </w:r>
          </w:p>
        </w:tc>
        <w:tc>
          <w:tcPr>
            <w:tcW w:w="1510" w:type="dxa"/>
            <w:tcBorders>
              <w:bottom w:val="single" w:sz="4" w:space="0" w:color="auto"/>
              <w:right w:val="single" w:sz="4" w:space="0" w:color="auto"/>
            </w:tcBorders>
            <w:tcMar>
              <w:top w:w="15" w:type="dxa"/>
              <w:left w:w="15" w:type="dxa"/>
              <w:right w:w="15" w:type="dxa"/>
            </w:tcMar>
            <w:vAlign w:val="bottom"/>
          </w:tcPr>
          <w:p w14:paraId="6BBDBE98" w14:textId="77777777" w:rsidR="005977A1" w:rsidRPr="00353CB4" w:rsidRDefault="003F3C30" w:rsidP="002C316A">
            <w:pPr>
              <w:jc w:val="center"/>
              <w:rPr>
                <w:rFonts w:asciiTheme="majorBidi" w:eastAsiaTheme="minorEastAsia" w:hAnsiTheme="majorBidi" w:cstheme="majorBidi"/>
                <w:sz w:val="24"/>
                <w:szCs w:val="24"/>
              </w:rPr>
            </w:pPr>
            <w:r w:rsidRPr="00353CB4">
              <w:rPr>
                <w:rFonts w:asciiTheme="majorBidi" w:eastAsiaTheme="minorEastAsia" w:hAnsiTheme="majorBidi" w:cstheme="majorBidi"/>
                <w:sz w:val="24"/>
                <w:szCs w:val="24"/>
              </w:rPr>
              <w:t>352175</w:t>
            </w:r>
          </w:p>
        </w:tc>
        <w:tc>
          <w:tcPr>
            <w:tcW w:w="1889" w:type="dxa"/>
            <w:tcBorders>
              <w:bottom w:val="single" w:sz="4" w:space="0" w:color="auto"/>
              <w:right w:val="single" w:sz="4" w:space="0" w:color="auto"/>
            </w:tcBorders>
            <w:tcMar>
              <w:top w:w="15" w:type="dxa"/>
              <w:left w:w="15" w:type="dxa"/>
              <w:right w:w="15" w:type="dxa"/>
            </w:tcMar>
            <w:vAlign w:val="bottom"/>
          </w:tcPr>
          <w:p w14:paraId="6945CC4C" w14:textId="77777777" w:rsidR="005977A1" w:rsidRPr="00353CB4" w:rsidRDefault="003F3C30" w:rsidP="002C316A">
            <w:pPr>
              <w:jc w:val="center"/>
              <w:rPr>
                <w:rFonts w:asciiTheme="majorBidi" w:eastAsiaTheme="minorEastAsia" w:hAnsiTheme="majorBidi" w:cstheme="majorBidi"/>
                <w:sz w:val="24"/>
                <w:szCs w:val="24"/>
              </w:rPr>
            </w:pPr>
            <w:r w:rsidRPr="00353CB4">
              <w:rPr>
                <w:rFonts w:asciiTheme="majorBidi" w:eastAsiaTheme="minorEastAsia" w:hAnsiTheme="majorBidi" w:cstheme="majorBidi"/>
                <w:sz w:val="24"/>
                <w:szCs w:val="24"/>
              </w:rPr>
              <w:t>298840</w:t>
            </w:r>
          </w:p>
        </w:tc>
      </w:tr>
      <w:tr w:rsidR="008A5729" w14:paraId="2BB6FF5E" w14:textId="77777777" w:rsidTr="002C316A">
        <w:trPr>
          <w:trHeight w:val="300"/>
        </w:trPr>
        <w:tc>
          <w:tcPr>
            <w:tcW w:w="4086" w:type="dxa"/>
            <w:tcBorders>
              <w:left w:val="single" w:sz="4" w:space="0" w:color="auto"/>
              <w:bottom w:val="single" w:sz="4" w:space="0" w:color="auto"/>
              <w:right w:val="single" w:sz="4" w:space="0" w:color="auto"/>
            </w:tcBorders>
            <w:tcMar>
              <w:top w:w="15" w:type="dxa"/>
              <w:left w:w="15" w:type="dxa"/>
              <w:right w:w="15" w:type="dxa"/>
            </w:tcMar>
            <w:vAlign w:val="bottom"/>
          </w:tcPr>
          <w:p w14:paraId="6FBF5E4F" w14:textId="77777777" w:rsidR="005977A1" w:rsidRDefault="003F3C30" w:rsidP="002C316A">
            <w:pPr>
              <w:rPr>
                <w:rFonts w:asciiTheme="majorBidi" w:eastAsiaTheme="minorEastAsia" w:hAnsiTheme="majorBidi" w:cstheme="majorBidi"/>
                <w:sz w:val="24"/>
                <w:szCs w:val="24"/>
              </w:rPr>
            </w:pPr>
            <w:r w:rsidRPr="5D9A768A">
              <w:rPr>
                <w:rFonts w:asciiTheme="majorBidi" w:eastAsiaTheme="minorEastAsia" w:hAnsiTheme="majorBidi" w:cstheme="majorBidi"/>
                <w:sz w:val="24"/>
                <w:szCs w:val="24"/>
              </w:rPr>
              <w:t>Tendence</w:t>
            </w:r>
          </w:p>
        </w:tc>
        <w:tc>
          <w:tcPr>
            <w:tcW w:w="1972" w:type="dxa"/>
            <w:tcBorders>
              <w:bottom w:val="single" w:sz="4" w:space="0" w:color="auto"/>
              <w:right w:val="single" w:sz="4" w:space="0" w:color="auto"/>
            </w:tcBorders>
            <w:tcMar>
              <w:top w:w="15" w:type="dxa"/>
              <w:left w:w="15" w:type="dxa"/>
              <w:right w:w="15" w:type="dxa"/>
            </w:tcMar>
            <w:vAlign w:val="bottom"/>
          </w:tcPr>
          <w:p w14:paraId="1B91EBAC" w14:textId="77777777" w:rsidR="005977A1" w:rsidRDefault="003F3C30" w:rsidP="002C316A">
            <w:pPr>
              <w:jc w:val="center"/>
              <w:rPr>
                <w:rFonts w:asciiTheme="majorBidi" w:eastAsiaTheme="minorEastAsia" w:hAnsiTheme="majorBidi" w:cstheme="majorBidi"/>
                <w:sz w:val="24"/>
                <w:szCs w:val="24"/>
              </w:rPr>
            </w:pPr>
            <w:r w:rsidRPr="5D9A768A">
              <w:rPr>
                <w:rFonts w:asciiTheme="majorBidi" w:eastAsiaTheme="minorEastAsia" w:hAnsiTheme="majorBidi" w:cstheme="majorBidi"/>
                <w:sz w:val="24"/>
                <w:szCs w:val="24"/>
              </w:rPr>
              <w:t>-</w:t>
            </w:r>
          </w:p>
        </w:tc>
        <w:tc>
          <w:tcPr>
            <w:tcW w:w="1510" w:type="dxa"/>
            <w:tcBorders>
              <w:bottom w:val="single" w:sz="4" w:space="0" w:color="auto"/>
              <w:right w:val="single" w:sz="4" w:space="0" w:color="auto"/>
            </w:tcBorders>
            <w:tcMar>
              <w:top w:w="15" w:type="dxa"/>
              <w:left w:w="15" w:type="dxa"/>
              <w:right w:w="15" w:type="dxa"/>
            </w:tcMar>
            <w:vAlign w:val="bottom"/>
          </w:tcPr>
          <w:p w14:paraId="480AD969" w14:textId="77777777" w:rsidR="005977A1" w:rsidRDefault="003F3C30" w:rsidP="002C316A">
            <w:pPr>
              <w:jc w:val="center"/>
              <w:rPr>
                <w:rFonts w:asciiTheme="majorBidi" w:eastAsiaTheme="minorEastAsia" w:hAnsiTheme="majorBidi" w:cstheme="majorBidi"/>
                <w:sz w:val="24"/>
                <w:szCs w:val="24"/>
              </w:rPr>
            </w:pPr>
            <w:r w:rsidRPr="5D9A768A">
              <w:rPr>
                <w:rFonts w:asciiTheme="majorBidi" w:eastAsiaTheme="minorEastAsia" w:hAnsiTheme="majorBidi" w:cstheme="majorBidi"/>
                <w:sz w:val="24"/>
                <w:szCs w:val="24"/>
              </w:rPr>
              <w:t>+ 9,4 %</w:t>
            </w:r>
          </w:p>
        </w:tc>
        <w:tc>
          <w:tcPr>
            <w:tcW w:w="1889" w:type="dxa"/>
            <w:tcBorders>
              <w:bottom w:val="single" w:sz="4" w:space="0" w:color="auto"/>
              <w:right w:val="single" w:sz="4" w:space="0" w:color="auto"/>
            </w:tcBorders>
            <w:tcMar>
              <w:top w:w="15" w:type="dxa"/>
              <w:left w:w="15" w:type="dxa"/>
              <w:right w:w="15" w:type="dxa"/>
            </w:tcMar>
            <w:vAlign w:val="bottom"/>
          </w:tcPr>
          <w:p w14:paraId="63436643" w14:textId="77777777" w:rsidR="005977A1" w:rsidRDefault="003F3C30" w:rsidP="002C316A">
            <w:pPr>
              <w:jc w:val="center"/>
              <w:rPr>
                <w:rFonts w:asciiTheme="majorBidi" w:eastAsiaTheme="minorEastAsia" w:hAnsiTheme="majorBidi" w:cstheme="majorBidi"/>
                <w:sz w:val="24"/>
                <w:szCs w:val="24"/>
              </w:rPr>
            </w:pPr>
            <w:r w:rsidRPr="5D9A768A">
              <w:rPr>
                <w:rFonts w:asciiTheme="majorBidi" w:eastAsiaTheme="minorEastAsia" w:hAnsiTheme="majorBidi" w:cstheme="majorBidi"/>
                <w:sz w:val="24"/>
                <w:szCs w:val="24"/>
              </w:rPr>
              <w:t>-15,1 %</w:t>
            </w:r>
          </w:p>
        </w:tc>
      </w:tr>
    </w:tbl>
    <w:p w14:paraId="266F89A0" w14:textId="77777777" w:rsidR="005977A1" w:rsidRDefault="003F3C30" w:rsidP="005977A1">
      <w:pPr>
        <w:ind w:firstLine="720"/>
        <w:jc w:val="both"/>
        <w:rPr>
          <w:rFonts w:asciiTheme="majorBidi" w:eastAsiaTheme="minorEastAsia" w:hAnsiTheme="majorBidi" w:cstheme="majorBidi"/>
          <w:sz w:val="24"/>
          <w:szCs w:val="24"/>
        </w:rPr>
      </w:pPr>
      <w:r w:rsidRPr="5D9A768A">
        <w:rPr>
          <w:rFonts w:asciiTheme="majorBidi" w:eastAsiaTheme="minorEastAsia" w:hAnsiTheme="majorBidi" w:cstheme="majorBidi"/>
          <w:sz w:val="24"/>
          <w:szCs w:val="24"/>
        </w:rPr>
        <w:lastRenderedPageBreak/>
        <w:t xml:space="preserve">2023. gadā laika posmā no janvāra līdz septembrim tika </w:t>
      </w:r>
      <w:r w:rsidRPr="5D9A768A">
        <w:rPr>
          <w:rFonts w:asciiTheme="majorBidi" w:eastAsiaTheme="minorEastAsia" w:hAnsiTheme="majorBidi" w:cstheme="majorBidi"/>
          <w:sz w:val="24"/>
          <w:szCs w:val="24"/>
        </w:rPr>
        <w:t>saņemta ārstniecības iestāžu informācija</w:t>
      </w:r>
      <w:r>
        <w:rPr>
          <w:rStyle w:val="FootnoteReference"/>
          <w:rFonts w:asciiTheme="majorBidi" w:eastAsiaTheme="minorEastAsia" w:hAnsiTheme="majorBidi" w:cstheme="majorBidi"/>
          <w:sz w:val="24"/>
          <w:szCs w:val="24"/>
        </w:rPr>
        <w:footnoteReference w:id="1"/>
      </w:r>
      <w:r w:rsidRPr="5D9A768A">
        <w:rPr>
          <w:rFonts w:asciiTheme="majorBidi" w:eastAsiaTheme="minorEastAsia" w:hAnsiTheme="majorBidi" w:cstheme="majorBidi"/>
          <w:sz w:val="24"/>
          <w:szCs w:val="24"/>
        </w:rPr>
        <w:t xml:space="preserve"> par 352 175 valsts apmaksātas vakcinācijas faktiem (neskaitot vakcinācijas faktus par vakcināciju pret gripu, Covid-19, ērču encefalītu un pērtiķu bakām, kā arī neskaitot tuberkulīna testus). Savukārt 2024. gad</w:t>
      </w:r>
      <w:r>
        <w:rPr>
          <w:rFonts w:asciiTheme="majorBidi" w:eastAsiaTheme="minorEastAsia" w:hAnsiTheme="majorBidi" w:cstheme="majorBidi"/>
          <w:sz w:val="24"/>
          <w:szCs w:val="24"/>
        </w:rPr>
        <w:t>a</w:t>
      </w:r>
      <w:r w:rsidRPr="5D9A768A">
        <w:rPr>
          <w:rFonts w:asciiTheme="majorBidi" w:eastAsiaTheme="minorEastAsia" w:hAnsiTheme="majorBidi" w:cstheme="majorBidi"/>
          <w:sz w:val="24"/>
          <w:szCs w:val="24"/>
        </w:rPr>
        <w:t xml:space="preserve"> deviņos mēnešos E-veselības sistēmā reģistrēti 298 840 valsts apmaksātas vakcinācijas fakti (neskaitot vakcinācijas faktus par vakcināciju pret gripu, Covid-19, ērču encefalītu un pērtiķu bakām, kā arī neskaitot tuberkulīna testus), kas ir par 15,1 % mazāk nekā analoga laika periodā 2023. gadā. Tik</w:t>
      </w:r>
      <w:r w:rsidRPr="5D9A768A">
        <w:rPr>
          <w:rFonts w:asciiTheme="majorBidi" w:eastAsiaTheme="minorEastAsia" w:hAnsiTheme="majorBidi" w:cstheme="majorBidi"/>
          <w:sz w:val="24"/>
          <w:szCs w:val="24"/>
        </w:rPr>
        <w:t xml:space="preserve"> izteikts reģistrēto vakcinācijas faktu kritums nevar būt saistīts tikai ar demogrāfijas rādītāju samazinājumu, bet, visticamāk,</w:t>
      </w:r>
      <w:r>
        <w:rPr>
          <w:rFonts w:asciiTheme="majorBidi" w:eastAsiaTheme="minorEastAsia" w:hAnsiTheme="majorBidi" w:cstheme="majorBidi"/>
          <w:sz w:val="24"/>
          <w:szCs w:val="24"/>
        </w:rPr>
        <w:t xml:space="preserve"> </w:t>
      </w:r>
      <w:r w:rsidRPr="5D9A768A">
        <w:rPr>
          <w:rFonts w:asciiTheme="majorBidi" w:eastAsiaTheme="minorEastAsia" w:hAnsiTheme="majorBidi" w:cstheme="majorBidi"/>
          <w:sz w:val="24"/>
          <w:szCs w:val="24"/>
        </w:rPr>
        <w:t>liel</w:t>
      </w:r>
      <w:r>
        <w:rPr>
          <w:rFonts w:asciiTheme="majorBidi" w:eastAsiaTheme="minorEastAsia" w:hAnsiTheme="majorBidi" w:cstheme="majorBidi"/>
          <w:sz w:val="24"/>
          <w:szCs w:val="24"/>
        </w:rPr>
        <w:t>ā</w:t>
      </w:r>
      <w:r w:rsidRPr="5D9A768A">
        <w:rPr>
          <w:rFonts w:asciiTheme="majorBidi" w:eastAsiaTheme="minorEastAsia" w:hAnsiTheme="majorBidi" w:cstheme="majorBidi"/>
          <w:sz w:val="24"/>
          <w:szCs w:val="24"/>
        </w:rPr>
        <w:t>koties ar nereģistrētiem vakcinācijas faktiem E-veselības sistēmā.</w:t>
      </w:r>
    </w:p>
    <w:p w14:paraId="1FFF75C0" w14:textId="77777777" w:rsidR="005977A1" w:rsidRDefault="003F3C30" w:rsidP="005977A1">
      <w:pPr>
        <w:ind w:firstLine="720"/>
        <w:jc w:val="both"/>
        <w:rPr>
          <w:rFonts w:asciiTheme="majorBidi" w:hAnsiTheme="majorBidi" w:cstheme="majorBidi"/>
          <w:sz w:val="24"/>
          <w:szCs w:val="24"/>
        </w:rPr>
      </w:pPr>
      <w:r w:rsidRPr="5D9A768A">
        <w:rPr>
          <w:rFonts w:asciiTheme="majorBidi" w:hAnsiTheme="majorBidi" w:cstheme="majorBidi"/>
          <w:sz w:val="24"/>
          <w:szCs w:val="24"/>
        </w:rPr>
        <w:t>Tā kā kopš 2024. gada sākuma E-veselības sistēma ir vienīgais datu avots par iedzīvotājiem veiktajām vakcinācijām, Centrs lūdz katru vakcinācijas iestādi pārliecināties, ka ir nodota informācija par visiem šogad veiktajiem vakcinācijas faktiem, kā arī turpmāk laikus nodot informāciju uz E-veselības sistēmu. Šie dati ir izšķiroši svarīgi, lai uzraudzītu un analizētu vienu no svarīgākajiem veselības rādītājiem - vakcinācijas aptveri valsts, administratīv</w:t>
      </w:r>
      <w:r>
        <w:rPr>
          <w:rFonts w:asciiTheme="majorBidi" w:hAnsiTheme="majorBidi" w:cstheme="majorBidi"/>
          <w:sz w:val="24"/>
          <w:szCs w:val="24"/>
        </w:rPr>
        <w:t>o</w:t>
      </w:r>
      <w:r w:rsidRPr="5D9A768A">
        <w:rPr>
          <w:rFonts w:asciiTheme="majorBidi" w:hAnsiTheme="majorBidi" w:cstheme="majorBidi"/>
          <w:sz w:val="24"/>
          <w:szCs w:val="24"/>
        </w:rPr>
        <w:t xml:space="preserve"> teritoriju un ģimenes ārstu prakšu griezumā</w:t>
      </w:r>
      <w:r>
        <w:rPr>
          <w:rFonts w:asciiTheme="majorBidi" w:hAnsiTheme="majorBidi" w:cstheme="majorBidi"/>
          <w:sz w:val="24"/>
          <w:szCs w:val="24"/>
        </w:rPr>
        <w:t>.</w:t>
      </w:r>
      <w:r w:rsidRPr="5D9A768A">
        <w:rPr>
          <w:rFonts w:asciiTheme="majorBidi" w:hAnsiTheme="majorBidi" w:cstheme="majorBidi"/>
          <w:sz w:val="24"/>
          <w:szCs w:val="24"/>
        </w:rPr>
        <w:t xml:space="preserve"> Turklāt šie dati ir ļoti būtiski, lai plānotu vakcīnu iegādi, apzinātu vakcīnu atlikumus vakcinācijas iestādēs un veiktu vakcīnu pasūtījumus. </w:t>
      </w:r>
    </w:p>
    <w:p w14:paraId="26550A30" w14:textId="77777777" w:rsidR="002079F2" w:rsidRPr="007906BB" w:rsidRDefault="003F3C30" w:rsidP="0094318E">
      <w:pPr>
        <w:ind w:firstLine="720"/>
        <w:jc w:val="both"/>
        <w:rPr>
          <w:sz w:val="24"/>
          <w:szCs w:val="24"/>
        </w:rPr>
      </w:pPr>
      <w:r w:rsidRPr="00213EC9">
        <w:rPr>
          <w:sz w:val="24"/>
          <w:szCs w:val="24"/>
        </w:rPr>
        <w:t>Lūdzam minēto informāciju izplatīt asociācijas biedriem</w:t>
      </w:r>
      <w:r>
        <w:rPr>
          <w:sz w:val="24"/>
          <w:szCs w:val="24"/>
        </w:rPr>
        <w:t>.</w:t>
      </w:r>
    </w:p>
    <w:p w14:paraId="27749933" w14:textId="77777777" w:rsidR="00477923" w:rsidRPr="003F6412" w:rsidRDefault="003F3C30" w:rsidP="00477923">
      <w:pPr>
        <w:tabs>
          <w:tab w:val="left" w:pos="6521"/>
        </w:tabs>
        <w:spacing w:before="480" w:after="480"/>
        <w:jc w:val="both"/>
        <w:rPr>
          <w:sz w:val="24"/>
          <w:szCs w:val="24"/>
        </w:rPr>
      </w:pPr>
      <w:r w:rsidRPr="003F6412">
        <w:rPr>
          <w:sz w:val="24"/>
          <w:szCs w:val="24"/>
        </w:rPr>
        <w:t>Direktore</w:t>
      </w:r>
      <w:r w:rsidRPr="003F6412">
        <w:rPr>
          <w:sz w:val="24"/>
          <w:szCs w:val="24"/>
        </w:rPr>
        <w:tab/>
      </w:r>
      <w:r w:rsidRPr="003F6412">
        <w:rPr>
          <w:noProof/>
          <w:sz w:val="24"/>
          <w:szCs w:val="24"/>
          <w:lang w:eastAsia="lv-LV"/>
        </w:rPr>
        <w:t>Iveta Gavare</w:t>
      </w:r>
    </w:p>
    <w:p w14:paraId="3F25F120" w14:textId="77777777" w:rsidR="002079F2" w:rsidRDefault="003F3C30" w:rsidP="002079F2">
      <w:pPr>
        <w:pStyle w:val="BodyB"/>
        <w:rPr>
          <w:sz w:val="20"/>
        </w:rPr>
      </w:pPr>
      <w:r>
        <w:rPr>
          <w:noProof/>
          <w:sz w:val="20"/>
        </w:rPr>
        <w:t>Linda Krauze</w:t>
      </w:r>
      <w:r>
        <w:rPr>
          <w:sz w:val="20"/>
        </w:rPr>
        <w:t xml:space="preserve"> </w:t>
      </w:r>
      <w:r>
        <w:rPr>
          <w:noProof/>
          <w:sz w:val="20"/>
        </w:rPr>
        <w:t>67387670</w:t>
      </w:r>
    </w:p>
    <w:p w14:paraId="2DA029EC" w14:textId="77777777" w:rsidR="00A91007" w:rsidRPr="00A91007" w:rsidRDefault="003F3C30" w:rsidP="00477923">
      <w:pPr>
        <w:pStyle w:val="BodyB"/>
      </w:pPr>
      <w:r>
        <w:rPr>
          <w:noProof/>
          <w:sz w:val="20"/>
        </w:rPr>
        <w:t>linda.krauze@spkc.gov.lv</w:t>
      </w:r>
    </w:p>
    <w:sectPr w:rsidR="00A91007" w:rsidRPr="00A91007" w:rsidSect="008C265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EBC9D" w14:textId="77777777" w:rsidR="003F3C30" w:rsidRDefault="003F3C30">
      <w:r>
        <w:separator/>
      </w:r>
    </w:p>
  </w:endnote>
  <w:endnote w:type="continuationSeparator" w:id="0">
    <w:p w14:paraId="2DE4607D" w14:textId="77777777" w:rsidR="003F3C30" w:rsidRDefault="003F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05186" w14:textId="77777777" w:rsidR="00F84E4B" w:rsidRDefault="003F3C30" w:rsidP="00F84E4B">
    <w:pPr>
      <w:pStyle w:val="Footer"/>
      <w:jc w:val="center"/>
    </w:pPr>
    <w:r w:rsidRPr="001B3C4F">
      <w:t xml:space="preserve">DOKUMENTS PARAKSTĪTS </w:t>
    </w:r>
    <w:r w:rsidRPr="001B3C4F">
      <w:t>ELEKTRONISKI AR DROŠU ELEKTRONISKO PARAKSTU</w:t>
    </w:r>
  </w:p>
  <w:p w14:paraId="60D45F13" w14:textId="77777777" w:rsidR="00CD015F" w:rsidRDefault="003F3C3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A6477" w14:textId="77777777" w:rsidR="00850327" w:rsidRDefault="003F3C30">
      <w:r>
        <w:separator/>
      </w:r>
    </w:p>
  </w:footnote>
  <w:footnote w:type="continuationSeparator" w:id="0">
    <w:p w14:paraId="2DC5D738" w14:textId="77777777" w:rsidR="00850327" w:rsidRDefault="003F3C30">
      <w:r>
        <w:continuationSeparator/>
      </w:r>
    </w:p>
  </w:footnote>
  <w:footnote w:id="1">
    <w:p w14:paraId="603E03C6" w14:textId="77777777" w:rsidR="005977A1" w:rsidRPr="00022026" w:rsidRDefault="003F3C30" w:rsidP="005977A1">
      <w:pPr>
        <w:pStyle w:val="FootnoteText"/>
        <w:rPr>
          <w:rFonts w:eastAsiaTheme="minorEastAsia"/>
        </w:rPr>
      </w:pPr>
      <w:r w:rsidRPr="5D9A768A">
        <w:rPr>
          <w:rStyle w:val="FootnoteReference"/>
        </w:rPr>
        <w:footnoteRef/>
      </w:r>
      <w:r>
        <w:t xml:space="preserve"> </w:t>
      </w:r>
      <w:r w:rsidRPr="00022026">
        <w:rPr>
          <w:rFonts w:eastAsiaTheme="minorEastAsia"/>
        </w:rPr>
        <w:t>Ministru kabineta 2000. gada 26. Septembra noteikumiem Nr. 330 “Vakcinācijas noteikumi” 3. pielikums “Iedzīvotāju imunizācijas pārskata un vakcīnu pasūtījuma veidlapa”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76723"/>
    <w:multiLevelType w:val="hybridMultilevel"/>
    <w:tmpl w:val="75C4787A"/>
    <w:lvl w:ilvl="0" w:tplc="AD9A5CA2">
      <w:start w:val="1"/>
      <w:numFmt w:val="decimal"/>
      <w:lvlText w:val="%1."/>
      <w:lvlJc w:val="left"/>
      <w:pPr>
        <w:ind w:left="720" w:hanging="360"/>
      </w:pPr>
      <w:rPr>
        <w:rFonts w:hint="default"/>
      </w:rPr>
    </w:lvl>
    <w:lvl w:ilvl="1" w:tplc="3ED01738">
      <w:start w:val="1"/>
      <w:numFmt w:val="lowerLetter"/>
      <w:lvlText w:val="%2."/>
      <w:lvlJc w:val="left"/>
      <w:pPr>
        <w:ind w:left="1440" w:hanging="360"/>
      </w:pPr>
    </w:lvl>
    <w:lvl w:ilvl="2" w:tplc="2D6A8282" w:tentative="1">
      <w:start w:val="1"/>
      <w:numFmt w:val="lowerRoman"/>
      <w:lvlText w:val="%3."/>
      <w:lvlJc w:val="right"/>
      <w:pPr>
        <w:ind w:left="2160" w:hanging="180"/>
      </w:pPr>
    </w:lvl>
    <w:lvl w:ilvl="3" w:tplc="2ACAEC12" w:tentative="1">
      <w:start w:val="1"/>
      <w:numFmt w:val="decimal"/>
      <w:lvlText w:val="%4."/>
      <w:lvlJc w:val="left"/>
      <w:pPr>
        <w:ind w:left="2880" w:hanging="360"/>
      </w:pPr>
    </w:lvl>
    <w:lvl w:ilvl="4" w:tplc="25827702" w:tentative="1">
      <w:start w:val="1"/>
      <w:numFmt w:val="lowerLetter"/>
      <w:lvlText w:val="%5."/>
      <w:lvlJc w:val="left"/>
      <w:pPr>
        <w:ind w:left="3600" w:hanging="360"/>
      </w:pPr>
    </w:lvl>
    <w:lvl w:ilvl="5" w:tplc="E74E4D72" w:tentative="1">
      <w:start w:val="1"/>
      <w:numFmt w:val="lowerRoman"/>
      <w:lvlText w:val="%6."/>
      <w:lvlJc w:val="right"/>
      <w:pPr>
        <w:ind w:left="4320" w:hanging="180"/>
      </w:pPr>
    </w:lvl>
    <w:lvl w:ilvl="6" w:tplc="9BE63058" w:tentative="1">
      <w:start w:val="1"/>
      <w:numFmt w:val="decimal"/>
      <w:lvlText w:val="%7."/>
      <w:lvlJc w:val="left"/>
      <w:pPr>
        <w:ind w:left="5040" w:hanging="360"/>
      </w:pPr>
    </w:lvl>
    <w:lvl w:ilvl="7" w:tplc="F80210EC" w:tentative="1">
      <w:start w:val="1"/>
      <w:numFmt w:val="lowerLetter"/>
      <w:lvlText w:val="%8."/>
      <w:lvlJc w:val="left"/>
      <w:pPr>
        <w:ind w:left="5760" w:hanging="360"/>
      </w:pPr>
    </w:lvl>
    <w:lvl w:ilvl="8" w:tplc="75AEFF60"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180852213">
    <w:abstractNumId w:val="0"/>
  </w:num>
  <w:num w:numId="2" w16cid:durableId="1879319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CC"/>
    <w:rsid w:val="00020179"/>
    <w:rsid w:val="00022026"/>
    <w:rsid w:val="00047779"/>
    <w:rsid w:val="000D65D1"/>
    <w:rsid w:val="00112C48"/>
    <w:rsid w:val="00154B6E"/>
    <w:rsid w:val="00195A3A"/>
    <w:rsid w:val="001963C5"/>
    <w:rsid w:val="001B3C4F"/>
    <w:rsid w:val="001F3DE1"/>
    <w:rsid w:val="002079F2"/>
    <w:rsid w:val="00213EC9"/>
    <w:rsid w:val="00222B8B"/>
    <w:rsid w:val="00237C47"/>
    <w:rsid w:val="00247E9C"/>
    <w:rsid w:val="00280BAC"/>
    <w:rsid w:val="002C30A7"/>
    <w:rsid w:val="002C316A"/>
    <w:rsid w:val="00320A03"/>
    <w:rsid w:val="00353CB4"/>
    <w:rsid w:val="00376EF5"/>
    <w:rsid w:val="003A5E2C"/>
    <w:rsid w:val="003E7BBE"/>
    <w:rsid w:val="003F2940"/>
    <w:rsid w:val="003F3C30"/>
    <w:rsid w:val="003F6412"/>
    <w:rsid w:val="00415D28"/>
    <w:rsid w:val="00443D6E"/>
    <w:rsid w:val="004568DF"/>
    <w:rsid w:val="00456D43"/>
    <w:rsid w:val="00477923"/>
    <w:rsid w:val="00480BD0"/>
    <w:rsid w:val="004A063D"/>
    <w:rsid w:val="00505CA0"/>
    <w:rsid w:val="005065FE"/>
    <w:rsid w:val="005249D9"/>
    <w:rsid w:val="0055269A"/>
    <w:rsid w:val="005603D1"/>
    <w:rsid w:val="00587CC8"/>
    <w:rsid w:val="005977A1"/>
    <w:rsid w:val="005D3E87"/>
    <w:rsid w:val="00651F8B"/>
    <w:rsid w:val="00675E68"/>
    <w:rsid w:val="006765DF"/>
    <w:rsid w:val="006D3FD6"/>
    <w:rsid w:val="007322A6"/>
    <w:rsid w:val="00775089"/>
    <w:rsid w:val="007906BB"/>
    <w:rsid w:val="007A3B0B"/>
    <w:rsid w:val="007B2FA4"/>
    <w:rsid w:val="00850327"/>
    <w:rsid w:val="00893003"/>
    <w:rsid w:val="008A5729"/>
    <w:rsid w:val="008B15BC"/>
    <w:rsid w:val="008B6D06"/>
    <w:rsid w:val="008B742D"/>
    <w:rsid w:val="008C265B"/>
    <w:rsid w:val="0094318E"/>
    <w:rsid w:val="00987215"/>
    <w:rsid w:val="00994AA3"/>
    <w:rsid w:val="009E26F3"/>
    <w:rsid w:val="00A23AAC"/>
    <w:rsid w:val="00A24A6B"/>
    <w:rsid w:val="00A277B8"/>
    <w:rsid w:val="00A773B0"/>
    <w:rsid w:val="00A8616D"/>
    <w:rsid w:val="00A91007"/>
    <w:rsid w:val="00B16961"/>
    <w:rsid w:val="00B86B76"/>
    <w:rsid w:val="00BE7124"/>
    <w:rsid w:val="00BF3D96"/>
    <w:rsid w:val="00C12D6E"/>
    <w:rsid w:val="00C4438A"/>
    <w:rsid w:val="00C92245"/>
    <w:rsid w:val="00CA27BF"/>
    <w:rsid w:val="00CB2202"/>
    <w:rsid w:val="00CB77F0"/>
    <w:rsid w:val="00CC1A82"/>
    <w:rsid w:val="00CC4F90"/>
    <w:rsid w:val="00CD015F"/>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214BA"/>
    <w:rsid w:val="00F84E4B"/>
    <w:rsid w:val="00FB54D0"/>
    <w:rsid w:val="00FE4CB2"/>
    <w:rsid w:val="12DBE3F1"/>
    <w:rsid w:val="526A5CC1"/>
    <w:rsid w:val="5359D091"/>
    <w:rsid w:val="5C0F5724"/>
    <w:rsid w:val="5D9A768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A4CF"/>
  <w15:docId w15:val="{02C2E166-6DDB-47BB-AB1D-A2B4C6C0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paragraph">
    <w:name w:val="paragraph"/>
    <w:basedOn w:val="Normal"/>
    <w:rsid w:val="00F214BA"/>
    <w:pPr>
      <w:spacing w:before="100" w:beforeAutospacing="1" w:after="100" w:afterAutospacing="1"/>
    </w:pPr>
    <w:rPr>
      <w:sz w:val="24"/>
      <w:szCs w:val="24"/>
      <w:lang w:eastAsia="lv-LV"/>
    </w:rPr>
  </w:style>
  <w:style w:type="character" w:styleId="FootnoteReference">
    <w:name w:val="footnote reference"/>
    <w:basedOn w:val="DefaultParagraphFont"/>
    <w:uiPriority w:val="99"/>
    <w:semiHidden/>
    <w:unhideWhenUsed/>
    <w:rsid w:val="005977A1"/>
    <w:rPr>
      <w:vertAlign w:val="superscript"/>
    </w:rPr>
  </w:style>
  <w:style w:type="character" w:customStyle="1" w:styleId="FootnoteTextChar">
    <w:name w:val="Footnote Text Char"/>
    <w:basedOn w:val="DefaultParagraphFont"/>
    <w:link w:val="FootnoteText"/>
    <w:uiPriority w:val="99"/>
    <w:semiHidden/>
    <w:rsid w:val="005977A1"/>
  </w:style>
  <w:style w:type="paragraph" w:styleId="FootnoteText">
    <w:name w:val="footnote text"/>
    <w:basedOn w:val="Normal"/>
    <w:link w:val="FootnoteTextChar"/>
    <w:uiPriority w:val="99"/>
    <w:semiHidden/>
    <w:unhideWhenUsed/>
    <w:rsid w:val="005977A1"/>
    <w:rPr>
      <w:rFonts w:eastAsia="Calibri"/>
      <w:lang w:eastAsia="lv-LV"/>
    </w:rPr>
  </w:style>
  <w:style w:type="character" w:customStyle="1" w:styleId="FootnoteTextChar1">
    <w:name w:val="Footnote Text Char1"/>
    <w:basedOn w:val="DefaultParagraphFont"/>
    <w:uiPriority w:val="99"/>
    <w:semiHidden/>
    <w:rsid w:val="005977A1"/>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0</TotalTime>
  <Pages>2</Pages>
  <Words>2159</Words>
  <Characters>1231</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Iveta Gavare</cp:lastModifiedBy>
  <cp:revision>2</cp:revision>
  <cp:lastPrinted>2016-02-15T06:53:00Z</cp:lastPrinted>
  <dcterms:created xsi:type="dcterms:W3CDTF">2024-11-05T08:22:00Z</dcterms:created>
  <dcterms:modified xsi:type="dcterms:W3CDTF">2024-11-05T08:22:00Z</dcterms:modified>
</cp:coreProperties>
</file>