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EA43" w14:textId="54E9EF28" w:rsidR="00A713B8" w:rsidRPr="007C59E6" w:rsidRDefault="00A713B8" w:rsidP="007C59E6">
      <w:pPr>
        <w:ind w:right="27"/>
        <w:jc w:val="center"/>
        <w:rPr>
          <w:rFonts w:eastAsia="Times New Roman"/>
          <w:b/>
        </w:rPr>
      </w:pPr>
      <w:r w:rsidRPr="006602C7">
        <w:rPr>
          <w:rFonts w:eastAsia="Times New Roman"/>
          <w:b/>
        </w:rPr>
        <w:t xml:space="preserve">Pozitronu emisijas tomogrāfijas ar datortomogrāfiju </w:t>
      </w:r>
      <w:r w:rsidR="54F301DB" w:rsidRPr="007C59E6">
        <w:rPr>
          <w:rFonts w:eastAsia="Times New Roman"/>
          <w:b/>
          <w:bCs/>
        </w:rPr>
        <w:t>p</w:t>
      </w:r>
      <w:r w:rsidR="3F0B0C22" w:rsidRPr="007C59E6">
        <w:rPr>
          <w:rFonts w:eastAsia="Times New Roman"/>
          <w:b/>
          <w:bCs/>
        </w:rPr>
        <w:t>akalpojum</w:t>
      </w:r>
      <w:r w:rsidR="3A9BEC8C" w:rsidRPr="007C59E6">
        <w:rPr>
          <w:rFonts w:eastAsia="Times New Roman"/>
          <w:b/>
          <w:bCs/>
        </w:rPr>
        <w:t xml:space="preserve">a nosūtīšanas un sniegšanas </w:t>
      </w:r>
      <w:r w:rsidR="3F0B0C22" w:rsidRPr="007C59E6">
        <w:rPr>
          <w:rFonts w:eastAsia="Times New Roman"/>
          <w:b/>
          <w:bCs/>
        </w:rPr>
        <w:t>kārtība</w:t>
      </w:r>
    </w:p>
    <w:p w14:paraId="23A12FF4" w14:textId="77777777" w:rsidR="00A713B8" w:rsidRPr="007C59E6" w:rsidRDefault="00A713B8" w:rsidP="007C59E6">
      <w:pPr>
        <w:jc w:val="center"/>
        <w:rPr>
          <w:rFonts w:eastAsia="Times New Roman"/>
          <w:b/>
        </w:rPr>
      </w:pPr>
    </w:p>
    <w:p w14:paraId="6E45869F" w14:textId="26DEF14D" w:rsidR="3F0B0C22" w:rsidRPr="007C59E6" w:rsidRDefault="3F0B0C22" w:rsidP="007C59E6">
      <w:pPr>
        <w:jc w:val="center"/>
        <w:rPr>
          <w:rFonts w:eastAsia="Times New Roman"/>
          <w:b/>
          <w:bCs/>
        </w:rPr>
      </w:pPr>
      <w:r w:rsidRPr="007C59E6">
        <w:rPr>
          <w:rFonts w:eastAsia="Times New Roman"/>
          <w:b/>
          <w:bCs/>
        </w:rPr>
        <w:t xml:space="preserve">I </w:t>
      </w:r>
      <w:r w:rsidR="0D1EEB8E" w:rsidRPr="007C59E6">
        <w:rPr>
          <w:rFonts w:eastAsia="Times New Roman"/>
          <w:b/>
          <w:bCs/>
        </w:rPr>
        <w:t>Pozitronu emisijas tomogrāfijas ar datortomogrāfiju</w:t>
      </w:r>
      <w:r w:rsidR="0110F32D" w:rsidRPr="007C59E6">
        <w:rPr>
          <w:rFonts w:eastAsia="Times New Roman"/>
          <w:b/>
          <w:bCs/>
        </w:rPr>
        <w:t xml:space="preserve"> </w:t>
      </w:r>
      <w:r w:rsidR="0D1EEB8E" w:rsidRPr="007C59E6">
        <w:rPr>
          <w:rFonts w:eastAsia="Times New Roman"/>
          <w:b/>
          <w:bCs/>
        </w:rPr>
        <w:t>pakalpojuma nosūtīšanas kārtība</w:t>
      </w:r>
    </w:p>
    <w:p w14:paraId="3E5BC7C2" w14:textId="77777777" w:rsidR="00646A09" w:rsidRPr="007C59E6" w:rsidRDefault="00646A09" w:rsidP="007C59E6">
      <w:pPr>
        <w:widowControl w:val="0"/>
        <w:contextualSpacing/>
      </w:pPr>
    </w:p>
    <w:p w14:paraId="0DE19644" w14:textId="62D5ECBE" w:rsidR="00794D2A" w:rsidRPr="007C59E6" w:rsidRDefault="22FD78F7" w:rsidP="007C59E6">
      <w:pPr>
        <w:pStyle w:val="ListParagraph"/>
        <w:widowControl w:val="0"/>
        <w:numPr>
          <w:ilvl w:val="0"/>
          <w:numId w:val="5"/>
        </w:numPr>
        <w:ind w:left="0" w:firstLine="0"/>
        <w:jc w:val="both"/>
        <w:rPr>
          <w:rFonts w:eastAsia="Times New Roman"/>
          <w:b/>
          <w:bCs/>
        </w:rPr>
      </w:pPr>
      <w:r w:rsidRPr="007C59E6">
        <w:rPr>
          <w:rFonts w:eastAsia="Times New Roman"/>
          <w:b/>
          <w:bCs/>
        </w:rPr>
        <w:t xml:space="preserve">Pacientiem, kas nav </w:t>
      </w:r>
      <w:proofErr w:type="spellStart"/>
      <w:r w:rsidRPr="007C59E6">
        <w:rPr>
          <w:rFonts w:eastAsia="Times New Roman"/>
          <w:b/>
          <w:bCs/>
        </w:rPr>
        <w:t>stacionēti</w:t>
      </w:r>
      <w:proofErr w:type="spellEnd"/>
      <w:r w:rsidR="39930D1C" w:rsidRPr="007C59E6">
        <w:rPr>
          <w:rFonts w:eastAsia="Times New Roman"/>
          <w:b/>
          <w:bCs/>
        </w:rPr>
        <w:t>:</w:t>
      </w:r>
    </w:p>
    <w:p w14:paraId="276E480B" w14:textId="7115113C" w:rsidR="00794D2A" w:rsidRPr="007C59E6" w:rsidRDefault="73A91FD6" w:rsidP="007C59E6">
      <w:pPr>
        <w:widowControl w:val="0"/>
        <w:numPr>
          <w:ilvl w:val="1"/>
          <w:numId w:val="5"/>
        </w:numPr>
        <w:ind w:left="0" w:firstLine="0"/>
        <w:contextualSpacing/>
        <w:jc w:val="both"/>
      </w:pPr>
      <w:r w:rsidRPr="007C59E6">
        <w:t>IZPILDĪTĀJS ievēro šo kārtību, nosūtot personu uz valsts apmaksātiem veselības aprūpes pakalpojumiem - Pozitronu emisijas tomogrāfiju ar datortomogrāfiju (turpmāk – PET/DT).</w:t>
      </w:r>
    </w:p>
    <w:p w14:paraId="2985BE48" w14:textId="4EBE7742" w:rsidR="00794D2A" w:rsidRPr="007C59E6" w:rsidRDefault="00794D2A" w:rsidP="007C59E6">
      <w:pPr>
        <w:widowControl w:val="0"/>
        <w:contextualSpacing/>
        <w:jc w:val="both"/>
      </w:pPr>
    </w:p>
    <w:p w14:paraId="349197ED" w14:textId="2E00334A" w:rsidR="00794D2A" w:rsidRPr="007C59E6" w:rsidRDefault="73A91FD6" w:rsidP="007C59E6">
      <w:pPr>
        <w:pStyle w:val="ListParagraph"/>
        <w:widowControl w:val="0"/>
        <w:numPr>
          <w:ilvl w:val="1"/>
          <w:numId w:val="5"/>
        </w:numPr>
        <w:ind w:left="0" w:firstLine="0"/>
        <w:jc w:val="both"/>
      </w:pPr>
      <w:r w:rsidRPr="007C59E6">
        <w:t>IZPILDĪTĀJS pirms personas nosūtīšanas uz PET/DT izvērtē un dokumentē medicīniskās indikācijas veselības aprūpes pakalpojuma saņemšanai un sagatavo nosūtījumu veselības aprūpes pakalpojumu saņemšanai, kuram pievieno konsīlija</w:t>
      </w:r>
      <w:r w:rsidR="6A3DCD70" w:rsidRPr="007C59E6">
        <w:t>, kas organizēts</w:t>
      </w:r>
      <w:r w:rsidR="07ACE52F" w:rsidRPr="007C59E6">
        <w:t xml:space="preserve"> </w:t>
      </w:r>
      <w:r w:rsidR="3CFFC824" w:rsidRPr="007C59E6">
        <w:t>1</w:t>
      </w:r>
      <w:r w:rsidR="58DC5512" w:rsidRPr="007C59E6">
        <w:t>.3. un 1.4</w:t>
      </w:r>
      <w:r w:rsidR="004B6195" w:rsidRPr="007C59E6">
        <w:t>.</w:t>
      </w:r>
      <w:r w:rsidR="58DC5512" w:rsidRPr="007C59E6">
        <w:t xml:space="preserve"> punktā minētajā </w:t>
      </w:r>
      <w:r w:rsidR="3CFFC824" w:rsidRPr="007C59E6">
        <w:t>sastāvā</w:t>
      </w:r>
      <w:r w:rsidR="07ACE52F" w:rsidRPr="007C59E6">
        <w:t>,</w:t>
      </w:r>
      <w:r w:rsidR="1BFBA693" w:rsidRPr="007C59E6">
        <w:t xml:space="preserve"> slēdzienu</w:t>
      </w:r>
      <w:r w:rsidRPr="007C59E6">
        <w:t>, izņemot 1.5.pu</w:t>
      </w:r>
      <w:r w:rsidRPr="007C59E6" w:rsidDel="73A91FD6">
        <w:t>n</w:t>
      </w:r>
      <w:r w:rsidRPr="007C59E6">
        <w:t xml:space="preserve">ktā minētos </w:t>
      </w:r>
      <w:r w:rsidR="07ACE52F" w:rsidRPr="007C59E6">
        <w:t>gadījumus</w:t>
      </w:r>
      <w:r w:rsidRPr="007C59E6">
        <w:t>.</w:t>
      </w:r>
    </w:p>
    <w:p w14:paraId="64BB262F" w14:textId="778973E0" w:rsidR="00794D2A" w:rsidRPr="007C59E6" w:rsidRDefault="00794D2A" w:rsidP="007C59E6">
      <w:pPr>
        <w:pStyle w:val="ListParagraph"/>
        <w:widowControl w:val="0"/>
        <w:ind w:left="0"/>
        <w:jc w:val="both"/>
      </w:pPr>
    </w:p>
    <w:p w14:paraId="4AD1823F" w14:textId="428A662D" w:rsidR="00794D2A" w:rsidRPr="007C59E6" w:rsidRDefault="73A91FD6" w:rsidP="007C59E6">
      <w:pPr>
        <w:pStyle w:val="ListParagraph"/>
        <w:widowControl w:val="0"/>
        <w:numPr>
          <w:ilvl w:val="1"/>
          <w:numId w:val="5"/>
        </w:numPr>
        <w:ind w:left="0" w:firstLine="0"/>
        <w:jc w:val="both"/>
      </w:pPr>
      <w:r w:rsidRPr="007C59E6">
        <w:t xml:space="preserve">IZPILDĪTĀJS nodrošina, ka konsīlijā par PET/DT nepieciešamību piedalās ne mazāk kā </w:t>
      </w:r>
      <w:r w:rsidR="7CB2DCBE" w:rsidRPr="007C59E6">
        <w:t>3</w:t>
      </w:r>
      <w:r w:rsidRPr="007C59E6">
        <w:t xml:space="preserve"> ārsti, tai skaitā viens no tiem ir radiologs. </w:t>
      </w:r>
    </w:p>
    <w:p w14:paraId="066457EB" w14:textId="19892159" w:rsidR="00794D2A" w:rsidRPr="007C59E6" w:rsidRDefault="00794D2A" w:rsidP="007C59E6">
      <w:pPr>
        <w:pStyle w:val="ListParagraph"/>
        <w:widowControl w:val="0"/>
        <w:ind w:left="0"/>
        <w:jc w:val="both"/>
      </w:pPr>
    </w:p>
    <w:p w14:paraId="21BD1109" w14:textId="6EDDFB49" w:rsidR="00794D2A" w:rsidRPr="007C59E6" w:rsidRDefault="73A91FD6" w:rsidP="007C59E6">
      <w:pPr>
        <w:pStyle w:val="ListParagraph"/>
        <w:widowControl w:val="0"/>
        <w:numPr>
          <w:ilvl w:val="1"/>
          <w:numId w:val="5"/>
        </w:numPr>
        <w:ind w:left="0" w:firstLine="0"/>
        <w:jc w:val="both"/>
      </w:pPr>
      <w:r w:rsidRPr="007C59E6">
        <w:t xml:space="preserve">Ja pacientam ar </w:t>
      </w:r>
      <w:proofErr w:type="spellStart"/>
      <w:r w:rsidRPr="007C59E6">
        <w:t>onkohematoloģisku</w:t>
      </w:r>
      <w:proofErr w:type="spellEnd"/>
      <w:r w:rsidRPr="007C59E6">
        <w:t xml:space="preserve"> diagnozi tiek organizēts hematologu konsīlijs, </w:t>
      </w:r>
      <w:r w:rsidR="7D8E853E" w:rsidRPr="007C59E6">
        <w:t xml:space="preserve">IZPILDĪTĀJS nodrošina, ka </w:t>
      </w:r>
      <w:r w:rsidRPr="007C59E6">
        <w:t xml:space="preserve"> tā sastāvā ir </w:t>
      </w:r>
      <w:r w:rsidR="15E97279" w:rsidRPr="007C59E6">
        <w:t>2</w:t>
      </w:r>
      <w:r w:rsidRPr="007C59E6">
        <w:t xml:space="preserve"> hematologi un 1 radiologs vai 3 hematologi.</w:t>
      </w:r>
    </w:p>
    <w:p w14:paraId="32679AC5" w14:textId="07FAD366" w:rsidR="00794D2A" w:rsidRPr="007C59E6" w:rsidRDefault="00794D2A" w:rsidP="007C59E6">
      <w:pPr>
        <w:pStyle w:val="ListParagraph"/>
        <w:widowControl w:val="0"/>
        <w:ind w:left="0"/>
        <w:jc w:val="both"/>
      </w:pPr>
    </w:p>
    <w:p w14:paraId="73F70BB5" w14:textId="7DCE0A87" w:rsidR="00794D2A" w:rsidRPr="007C59E6" w:rsidRDefault="73A91FD6" w:rsidP="007C59E6">
      <w:pPr>
        <w:pStyle w:val="ListParagraph"/>
        <w:widowControl w:val="0"/>
        <w:numPr>
          <w:ilvl w:val="1"/>
          <w:numId w:val="5"/>
        </w:numPr>
        <w:ind w:left="0" w:firstLine="0"/>
        <w:jc w:val="both"/>
      </w:pPr>
      <w:r w:rsidRPr="007C59E6">
        <w:t>Konsīlija slēdziens nav nepieciešams un par nosūtījumu uz PET/DT nepieciešamību lemj ārstējošais ārsts šādos gadījumos un šādā kārtībā, ja:</w:t>
      </w:r>
    </w:p>
    <w:p w14:paraId="45DA5C25" w14:textId="6663E90D" w:rsidR="00794D2A" w:rsidRPr="007C59E6" w:rsidRDefault="73A91FD6" w:rsidP="007C59E6">
      <w:pPr>
        <w:pStyle w:val="ListParagraph"/>
        <w:widowControl w:val="0"/>
        <w:numPr>
          <w:ilvl w:val="2"/>
          <w:numId w:val="5"/>
        </w:numPr>
        <w:ind w:left="0" w:firstLine="0"/>
        <w:jc w:val="both"/>
      </w:pPr>
      <w:r w:rsidRPr="007C59E6">
        <w:t xml:space="preserve">pacientam ir histoloģiski pierādīta Hodžkina slimība, kā arī gadījumā, ja nepieciešams noteikt slimības stadijas ne Hodžkina </w:t>
      </w:r>
      <w:proofErr w:type="spellStart"/>
      <w:r w:rsidRPr="007C59E6">
        <w:t>limfomai</w:t>
      </w:r>
      <w:proofErr w:type="spellEnd"/>
      <w:r w:rsidRPr="007C59E6">
        <w:t xml:space="preserve"> (saskaņā ar SSK10 diagnozes kodi C81 – C86.6) - par izmeklējuma nepieciešamību lemj hematologs, bērnu </w:t>
      </w:r>
      <w:proofErr w:type="spellStart"/>
      <w:r w:rsidRPr="007C59E6">
        <w:t>onkohematologs</w:t>
      </w:r>
      <w:proofErr w:type="spellEnd"/>
      <w:r w:rsidRPr="007C59E6">
        <w:t xml:space="preserve"> vai onkologs </w:t>
      </w:r>
      <w:proofErr w:type="spellStart"/>
      <w:r w:rsidRPr="007C59E6">
        <w:t>ķīmijterapeits</w:t>
      </w:r>
      <w:proofErr w:type="spellEnd"/>
      <w:r w:rsidRPr="007C59E6">
        <w:t>;</w:t>
      </w:r>
    </w:p>
    <w:p w14:paraId="3B76A901" w14:textId="192E5882" w:rsidR="00794D2A" w:rsidRPr="007C59E6" w:rsidRDefault="73A91FD6" w:rsidP="007C59E6">
      <w:pPr>
        <w:pStyle w:val="ListParagraph"/>
        <w:widowControl w:val="0"/>
        <w:numPr>
          <w:ilvl w:val="2"/>
          <w:numId w:val="5"/>
        </w:numPr>
        <w:ind w:left="0" w:firstLine="0"/>
        <w:jc w:val="both"/>
      </w:pPr>
      <w:r w:rsidRPr="007C59E6">
        <w:t xml:space="preserve">pacientam ir sēklinieku audzējs vai </w:t>
      </w:r>
      <w:proofErr w:type="spellStart"/>
      <w:r w:rsidRPr="007C59E6">
        <w:t>neseminomas</w:t>
      </w:r>
      <w:proofErr w:type="spellEnd"/>
      <w:r w:rsidRPr="007C59E6">
        <w:t xml:space="preserve"> (saskaņā ar SSK10 diagnozes kods C62) gadījumā - par izmeklējuma nepieciešamību lemj hematologs vai onkologs </w:t>
      </w:r>
      <w:proofErr w:type="spellStart"/>
      <w:r w:rsidRPr="007C59E6">
        <w:t>ķīmijterapeits</w:t>
      </w:r>
      <w:proofErr w:type="spellEnd"/>
      <w:r w:rsidRPr="007C59E6">
        <w:t>;</w:t>
      </w:r>
    </w:p>
    <w:p w14:paraId="55540F41" w14:textId="4774023B" w:rsidR="00794D2A" w:rsidRPr="007C59E6" w:rsidRDefault="73A91FD6" w:rsidP="007C59E6">
      <w:pPr>
        <w:pStyle w:val="ListParagraph"/>
        <w:widowControl w:val="0"/>
        <w:numPr>
          <w:ilvl w:val="2"/>
          <w:numId w:val="5"/>
        </w:numPr>
        <w:ind w:left="0" w:firstLine="0"/>
        <w:jc w:val="both"/>
      </w:pPr>
      <w:r w:rsidRPr="007C59E6">
        <w:t xml:space="preserve">pacientam ir histoloģiski pierādīta ādas </w:t>
      </w:r>
      <w:proofErr w:type="spellStart"/>
      <w:r w:rsidRPr="007C59E6">
        <w:t>melanoma</w:t>
      </w:r>
      <w:proofErr w:type="spellEnd"/>
      <w:r w:rsidRPr="007C59E6">
        <w:t xml:space="preserve"> III – IV stadijā (saskaņā ar SSK10 diagnozes kods C43) - par izmeklējuma nepieciešamību lemj onkologs </w:t>
      </w:r>
      <w:proofErr w:type="spellStart"/>
      <w:r w:rsidRPr="007C59E6">
        <w:t>ķīmijterapeits</w:t>
      </w:r>
      <w:proofErr w:type="spellEnd"/>
      <w:r w:rsidRPr="007C59E6">
        <w:t xml:space="preserve"> vai bērnu </w:t>
      </w:r>
      <w:proofErr w:type="spellStart"/>
      <w:r w:rsidRPr="007C59E6">
        <w:t>onkohematologs</w:t>
      </w:r>
      <w:proofErr w:type="spellEnd"/>
      <w:r w:rsidRPr="007C59E6">
        <w:t>.</w:t>
      </w:r>
    </w:p>
    <w:p w14:paraId="453F9D08" w14:textId="050B3F67" w:rsidR="00794D2A" w:rsidRPr="007C59E6" w:rsidRDefault="00794D2A" w:rsidP="007C59E6">
      <w:pPr>
        <w:widowControl w:val="0"/>
        <w:contextualSpacing/>
        <w:jc w:val="both"/>
      </w:pPr>
    </w:p>
    <w:p w14:paraId="27AB97DF" w14:textId="37DB71FA" w:rsidR="00794D2A" w:rsidRPr="007C59E6" w:rsidRDefault="2219E326" w:rsidP="007C59E6">
      <w:pPr>
        <w:pStyle w:val="ListParagraph"/>
        <w:widowControl w:val="0"/>
        <w:numPr>
          <w:ilvl w:val="0"/>
          <w:numId w:val="5"/>
        </w:numPr>
        <w:ind w:left="0" w:firstLine="0"/>
        <w:jc w:val="both"/>
        <w:rPr>
          <w:b/>
          <w:bCs/>
        </w:rPr>
      </w:pPr>
      <w:proofErr w:type="spellStart"/>
      <w:r w:rsidRPr="007C59E6">
        <w:rPr>
          <w:b/>
          <w:bCs/>
        </w:rPr>
        <w:t>Stacionētiem</w:t>
      </w:r>
      <w:proofErr w:type="spellEnd"/>
      <w:r w:rsidRPr="007C59E6">
        <w:rPr>
          <w:b/>
          <w:bCs/>
        </w:rPr>
        <w:t xml:space="preserve"> pacientiem:</w:t>
      </w:r>
    </w:p>
    <w:p w14:paraId="25604969" w14:textId="781E9F9F" w:rsidR="00794D2A" w:rsidRPr="007C59E6" w:rsidRDefault="2219E326" w:rsidP="007C59E6">
      <w:pPr>
        <w:widowControl w:val="0"/>
        <w:numPr>
          <w:ilvl w:val="1"/>
          <w:numId w:val="5"/>
        </w:numPr>
        <w:ind w:left="0" w:firstLine="0"/>
        <w:contextualSpacing/>
        <w:jc w:val="both"/>
      </w:pPr>
      <w:r w:rsidRPr="007C59E6">
        <w:t xml:space="preserve">SIA „Rīgas Austrumu klīniskā universitātes slimnīca”,  VSIA „Paula Stradiņa klīniskā universitātes slimnīca”, Sabiedrība ar ierobežotu atbildību „Daugavpils reģionālā slimnīca”,  SIA „LIEPĀJAS REĢIONĀLĀ SLIMNĪCA”,  VSIA “Bērnu klīniskā universitātes slimnīca”,  VSIA “Traumatoloģijas un ortopēdijas slimnīca” (turpmāk – IZPILDĪTĀJS) nodrošina stacionārā pacienta nogādāšanu  </w:t>
      </w:r>
      <w:r w:rsidR="2723E574" w:rsidRPr="007C59E6">
        <w:t>uz PET/DT</w:t>
      </w:r>
      <w:r w:rsidRPr="007C59E6">
        <w:t xml:space="preserve"> izmeklējuma veikšanai uz AS “Latvijas Jūras medicīnas centrs” Sarkandaugavas ambulatorās veselības aprūpes centru (Patversmes iela 29, Rīga) vai SIA Medicīnas sabiedrība "ARS" Diagnostikas klīniku (Jāņa Asara iela 3, Rīga</w:t>
      </w:r>
      <w:r w:rsidR="1D749EB7" w:rsidRPr="007C59E6">
        <w:t xml:space="preserve"> un Gardenes iela </w:t>
      </w:r>
      <w:r w:rsidR="24D6DE50" w:rsidRPr="007C59E6">
        <w:t>1</w:t>
      </w:r>
      <w:r w:rsidR="1D749EB7" w:rsidRPr="007C59E6">
        <w:t>3, Rīga</w:t>
      </w:r>
      <w:r w:rsidRPr="007C59E6">
        <w:t>), ja par šī izmeklējuma nepieciešamību ir lēmis ārstu konsīlijs.</w:t>
      </w:r>
    </w:p>
    <w:p w14:paraId="4B0182E4" w14:textId="03626ABE" w:rsidR="00794D2A" w:rsidRPr="007C59E6" w:rsidRDefault="00794D2A" w:rsidP="007C59E6">
      <w:pPr>
        <w:widowControl w:val="0"/>
        <w:contextualSpacing/>
        <w:jc w:val="both"/>
      </w:pPr>
    </w:p>
    <w:p w14:paraId="090AE619" w14:textId="3649A736" w:rsidR="00794D2A" w:rsidRPr="007C59E6" w:rsidRDefault="2219E326" w:rsidP="007C59E6">
      <w:pPr>
        <w:widowControl w:val="0"/>
        <w:numPr>
          <w:ilvl w:val="1"/>
          <w:numId w:val="5"/>
        </w:numPr>
        <w:ind w:left="0" w:firstLine="0"/>
        <w:contextualSpacing/>
        <w:jc w:val="both"/>
        <w:rPr>
          <w:rFonts w:eastAsia="Times New Roman"/>
        </w:rPr>
      </w:pPr>
      <w:r w:rsidRPr="007C59E6">
        <w:t xml:space="preserve">IZPILDĪTĀJS nodrošina konsīlija sastāvu atbilstoši šīs kārtības </w:t>
      </w:r>
      <w:r w:rsidR="004B6195" w:rsidRPr="007C59E6">
        <w:t>1.3. un 1.4</w:t>
      </w:r>
      <w:r w:rsidRPr="007C59E6">
        <w:t>.</w:t>
      </w:r>
      <w:r w:rsidR="004B6195" w:rsidRPr="007C59E6">
        <w:t xml:space="preserve"> </w:t>
      </w:r>
      <w:r w:rsidRPr="007C59E6">
        <w:t>punktā minētajam</w:t>
      </w:r>
      <w:r w:rsidR="602F74D6" w:rsidRPr="007C59E6">
        <w:t>.</w:t>
      </w:r>
    </w:p>
    <w:p w14:paraId="647314D3" w14:textId="5FC0FA56" w:rsidR="00794D2A" w:rsidRPr="007C59E6" w:rsidRDefault="00794D2A" w:rsidP="007C59E6">
      <w:pPr>
        <w:widowControl w:val="0"/>
        <w:contextualSpacing/>
        <w:jc w:val="both"/>
        <w:rPr>
          <w:rFonts w:eastAsia="Times New Roman"/>
        </w:rPr>
      </w:pPr>
    </w:p>
    <w:p w14:paraId="36EE90D6" w14:textId="407FE11A" w:rsidR="00794D2A" w:rsidRPr="007C59E6" w:rsidRDefault="2219E326" w:rsidP="007C59E6">
      <w:pPr>
        <w:widowControl w:val="0"/>
        <w:numPr>
          <w:ilvl w:val="1"/>
          <w:numId w:val="5"/>
        </w:numPr>
        <w:ind w:left="0" w:firstLine="0"/>
        <w:contextualSpacing/>
        <w:jc w:val="both"/>
        <w:rPr>
          <w:rFonts w:eastAsia="Times New Roman"/>
        </w:rPr>
      </w:pPr>
      <w:r w:rsidRPr="007C59E6">
        <w:rPr>
          <w:rFonts w:eastAsia="Times New Roman"/>
        </w:rPr>
        <w:t>IZPILDĪTĀJS izvērtē, vai pacientam turpmākās ārstēšanas taktikas noteikšanai PET/DT ir pacienta diagnozei un veselības stāvoklim vienīgais un atbilstošākais izmeklējuma veids, tādā veidā rūpējoties, lai ierobežotie valsts budžeta līdzekļi šim veselības aprūpes pakalpojumu veidam tiktu izmantoti racionāli un maksimāli efektīvi.</w:t>
      </w:r>
    </w:p>
    <w:p w14:paraId="432FE1E0" w14:textId="75F6EC8D" w:rsidR="00794D2A" w:rsidRPr="007C59E6" w:rsidRDefault="00794D2A" w:rsidP="007C59E6">
      <w:pPr>
        <w:widowControl w:val="0"/>
        <w:contextualSpacing/>
        <w:jc w:val="both"/>
        <w:rPr>
          <w:rFonts w:eastAsia="Times New Roman"/>
        </w:rPr>
      </w:pPr>
    </w:p>
    <w:p w14:paraId="33130C7C" w14:textId="52E88522" w:rsidR="00794D2A" w:rsidRPr="007C59E6" w:rsidRDefault="2219E326" w:rsidP="007C59E6">
      <w:pPr>
        <w:widowControl w:val="0"/>
        <w:numPr>
          <w:ilvl w:val="1"/>
          <w:numId w:val="5"/>
        </w:numPr>
        <w:ind w:left="0" w:firstLine="0"/>
        <w:contextualSpacing/>
        <w:jc w:val="both"/>
        <w:rPr>
          <w:rFonts w:eastAsia="Times New Roman"/>
          <w:lang w:eastAsia="lv-LV"/>
        </w:rPr>
      </w:pPr>
      <w:r w:rsidRPr="007C59E6">
        <w:rPr>
          <w:lang w:eastAsia="lv-LV"/>
        </w:rPr>
        <w:t>IZPILDĪTĀJS nodrošina visu nepieciešamo, lai pacientu sagatavotu izmeklējuma</w:t>
      </w:r>
      <w:r w:rsidRPr="007C59E6">
        <w:rPr>
          <w:color w:val="000000" w:themeColor="text1"/>
          <w:lang w:eastAsia="lv-LV"/>
        </w:rPr>
        <w:t xml:space="preserve"> veikšanai, tajā skaitā, pieejamo pacienta iepriekš veikto izmeklējumu izskatīšan</w:t>
      </w:r>
      <w:r w:rsidR="610961D5" w:rsidRPr="007C59E6">
        <w:rPr>
          <w:color w:val="000000" w:themeColor="text1"/>
          <w:lang w:eastAsia="lv-LV"/>
        </w:rPr>
        <w:t>u</w:t>
      </w:r>
      <w:r w:rsidRPr="007C59E6">
        <w:rPr>
          <w:color w:val="000000" w:themeColor="text1"/>
          <w:lang w:eastAsia="lv-LV"/>
        </w:rPr>
        <w:t>, nieru funkciju novērtēšan</w:t>
      </w:r>
      <w:r w:rsidR="659CAC1D" w:rsidRPr="007C59E6">
        <w:rPr>
          <w:color w:val="000000" w:themeColor="text1"/>
          <w:lang w:eastAsia="lv-LV"/>
        </w:rPr>
        <w:t>u</w:t>
      </w:r>
      <w:r w:rsidRPr="007C59E6">
        <w:rPr>
          <w:color w:val="000000" w:themeColor="text1"/>
          <w:lang w:eastAsia="lv-LV"/>
        </w:rPr>
        <w:t>, pamatojoties uz iepriekšēju analīžu rezultātiem, glikozes līmeņa un asinsspiediena mērīšan</w:t>
      </w:r>
      <w:r w:rsidR="3F322EF7" w:rsidRPr="007C59E6">
        <w:rPr>
          <w:color w:val="000000" w:themeColor="text1"/>
          <w:lang w:eastAsia="lv-LV"/>
        </w:rPr>
        <w:t>u</w:t>
      </w:r>
      <w:r w:rsidRPr="007C59E6">
        <w:rPr>
          <w:color w:val="000000" w:themeColor="text1"/>
          <w:lang w:eastAsia="lv-LV"/>
        </w:rPr>
        <w:t>, precīza auguma un svara noteikšan</w:t>
      </w:r>
      <w:r w:rsidR="0DB25AB3" w:rsidRPr="007C59E6">
        <w:rPr>
          <w:color w:val="000000" w:themeColor="text1"/>
          <w:lang w:eastAsia="lv-LV"/>
        </w:rPr>
        <w:t>u</w:t>
      </w:r>
      <w:r w:rsidRPr="007C59E6">
        <w:rPr>
          <w:color w:val="000000" w:themeColor="text1"/>
          <w:lang w:eastAsia="lv-LV"/>
        </w:rPr>
        <w:t>.</w:t>
      </w:r>
    </w:p>
    <w:p w14:paraId="39318357" w14:textId="24A69A7F" w:rsidR="00794D2A" w:rsidRPr="007C59E6" w:rsidRDefault="00794D2A" w:rsidP="007C59E6">
      <w:pPr>
        <w:widowControl w:val="0"/>
        <w:contextualSpacing/>
        <w:jc w:val="both"/>
        <w:rPr>
          <w:rFonts w:eastAsia="Times New Roman"/>
          <w:lang w:eastAsia="lv-LV"/>
        </w:rPr>
      </w:pPr>
    </w:p>
    <w:p w14:paraId="45E71743" w14:textId="04538856" w:rsidR="00794D2A" w:rsidRPr="007C59E6" w:rsidRDefault="2219E326" w:rsidP="007C59E6">
      <w:pPr>
        <w:widowControl w:val="0"/>
        <w:numPr>
          <w:ilvl w:val="1"/>
          <w:numId w:val="5"/>
        </w:numPr>
        <w:ind w:left="0" w:firstLine="0"/>
        <w:contextualSpacing/>
        <w:jc w:val="both"/>
        <w:rPr>
          <w:rFonts w:eastAsia="Times New Roman"/>
          <w:lang w:eastAsia="lv-LV"/>
        </w:rPr>
      </w:pPr>
      <w:r w:rsidRPr="007C59E6">
        <w:rPr>
          <w:color w:val="000000" w:themeColor="text1"/>
          <w:lang w:eastAsia="lv-LV"/>
        </w:rPr>
        <w:t xml:space="preserve">IZPILDĪTĀJS informē </w:t>
      </w:r>
      <w:r w:rsidRPr="007C59E6">
        <w:rPr>
          <w:rFonts w:eastAsia="Times New Roman"/>
          <w:lang w:eastAsia="lv-LV"/>
        </w:rPr>
        <w:t>pacientu par:</w:t>
      </w:r>
    </w:p>
    <w:p w14:paraId="6209DC25" w14:textId="6BCAADFD" w:rsidR="00794D2A" w:rsidRPr="007C59E6" w:rsidRDefault="3C8312B3" w:rsidP="007C59E6">
      <w:pPr>
        <w:pStyle w:val="ListParagraph"/>
        <w:widowControl w:val="0"/>
        <w:numPr>
          <w:ilvl w:val="2"/>
          <w:numId w:val="5"/>
        </w:numPr>
        <w:ind w:left="0" w:firstLine="0"/>
        <w:jc w:val="both"/>
      </w:pPr>
      <w:r w:rsidRPr="007C59E6">
        <w:t>pareizu sagatavošanos izmeklējuma veikšanai;</w:t>
      </w:r>
    </w:p>
    <w:p w14:paraId="3223B1A3" w14:textId="343D4F15" w:rsidR="00794D2A" w:rsidRPr="007C59E6" w:rsidRDefault="2A762749" w:rsidP="007C59E6">
      <w:pPr>
        <w:pStyle w:val="ListParagraph"/>
        <w:widowControl w:val="0"/>
        <w:numPr>
          <w:ilvl w:val="2"/>
          <w:numId w:val="5"/>
        </w:numPr>
        <w:ind w:left="0" w:firstLine="0"/>
        <w:jc w:val="both"/>
      </w:pPr>
      <w:proofErr w:type="spellStart"/>
      <w:r w:rsidRPr="007C59E6">
        <w:t>radiofarmaceitisko</w:t>
      </w:r>
      <w:proofErr w:type="spellEnd"/>
      <w:r w:rsidR="3C8312B3" w:rsidRPr="007C59E6">
        <w:t xml:space="preserve"> preparātu ievadīšanu un izmeklējuma norisi;</w:t>
      </w:r>
    </w:p>
    <w:p w14:paraId="7CABAF1E" w14:textId="10E9445D" w:rsidR="00794D2A" w:rsidRPr="007C59E6" w:rsidRDefault="3C8312B3" w:rsidP="007C59E6">
      <w:pPr>
        <w:pStyle w:val="ListParagraph"/>
        <w:widowControl w:val="0"/>
        <w:numPr>
          <w:ilvl w:val="2"/>
          <w:numId w:val="5"/>
        </w:numPr>
        <w:ind w:left="0" w:firstLine="0"/>
        <w:jc w:val="both"/>
      </w:pPr>
      <w:r w:rsidRPr="007C59E6">
        <w:t>veicamajām darbībām pēc izmeklējuma.</w:t>
      </w:r>
    </w:p>
    <w:p w14:paraId="4B87880A" w14:textId="743EAD8C" w:rsidR="00794D2A" w:rsidRPr="007C59E6" w:rsidRDefault="00794D2A" w:rsidP="007C59E6">
      <w:pPr>
        <w:pStyle w:val="ListParagraph"/>
        <w:widowControl w:val="0"/>
        <w:ind w:left="0"/>
        <w:jc w:val="both"/>
      </w:pPr>
    </w:p>
    <w:p w14:paraId="56567EB9" w14:textId="114FA092" w:rsidR="00794D2A" w:rsidRPr="007C59E6" w:rsidRDefault="3C8312B3" w:rsidP="007C59E6">
      <w:pPr>
        <w:widowControl w:val="0"/>
        <w:numPr>
          <w:ilvl w:val="1"/>
          <w:numId w:val="5"/>
        </w:numPr>
        <w:ind w:left="0" w:firstLine="0"/>
        <w:contextualSpacing/>
        <w:jc w:val="both"/>
        <w:rPr>
          <w:rFonts w:eastAsia="Times New Roman"/>
          <w:lang w:eastAsia="lv-LV"/>
        </w:rPr>
      </w:pPr>
      <w:r w:rsidRPr="007C59E6">
        <w:rPr>
          <w:rFonts w:eastAsia="Times New Roman"/>
          <w:lang w:eastAsia="lv-LV"/>
        </w:rPr>
        <w:t xml:space="preserve">DIENESTS veic samaksu IZPILDĪTĀJAM atbilstoši Vadības informācijas sistēmā ievadītajai  informācijai </w:t>
      </w:r>
      <w:r w:rsidR="54067B9E" w:rsidRPr="007C59E6">
        <w:rPr>
          <w:rFonts w:eastAsia="Times New Roman"/>
          <w:lang w:eastAsia="lv-LV"/>
        </w:rPr>
        <w:t xml:space="preserve">(veidlapa Nr.066/u „No stacionāra izrakstīta (miruša) slimnieka karte”, kura ir iekļauta rēķinā) </w:t>
      </w:r>
      <w:r w:rsidRPr="007C59E6">
        <w:rPr>
          <w:rFonts w:eastAsia="Times New Roman"/>
          <w:lang w:eastAsia="lv-LV"/>
        </w:rPr>
        <w:t>atbilstoši  PET/DT apmaksas finansējumam tekošā kalendārā gada noteiktās summas ietvaros.</w:t>
      </w:r>
    </w:p>
    <w:p w14:paraId="5FBD51D6" w14:textId="407A72CE" w:rsidR="00794D2A" w:rsidRPr="007C59E6" w:rsidRDefault="00794D2A" w:rsidP="007C59E6">
      <w:pPr>
        <w:widowControl w:val="0"/>
        <w:contextualSpacing/>
        <w:jc w:val="both"/>
        <w:rPr>
          <w:rFonts w:eastAsia="Times New Roman"/>
          <w:lang w:eastAsia="lv-LV"/>
        </w:rPr>
      </w:pPr>
    </w:p>
    <w:p w14:paraId="4D390AFF" w14:textId="39937C06" w:rsidR="00794D2A" w:rsidRPr="007C59E6" w:rsidRDefault="3C8312B3" w:rsidP="007C59E6">
      <w:pPr>
        <w:widowControl w:val="0"/>
        <w:numPr>
          <w:ilvl w:val="1"/>
          <w:numId w:val="5"/>
        </w:numPr>
        <w:ind w:left="0" w:firstLine="0"/>
        <w:contextualSpacing/>
        <w:jc w:val="both"/>
        <w:rPr>
          <w:rFonts w:eastAsia="Times New Roman"/>
          <w:lang w:eastAsia="lv-LV"/>
        </w:rPr>
      </w:pPr>
      <w:r w:rsidRPr="007C59E6">
        <w:rPr>
          <w:rFonts w:eastAsia="Times New Roman"/>
          <w:lang w:eastAsia="lv-LV"/>
        </w:rPr>
        <w:t>IZPILDĪTĀJS, atbilstoši Ministru kabineta 2018.gada 28.augusta noteikumu Nr.555 “Veselības aprūpes pakalpojumu organizēšanas un samaksas kārtība” 97.punktam par personai veikto PET/DT izmeklējumu, norēķinās ar ārstniecības iestādi - manipulāciju veicēju.</w:t>
      </w:r>
    </w:p>
    <w:p w14:paraId="6A910C6F" w14:textId="795EFC87" w:rsidR="00794D2A" w:rsidRPr="007C59E6" w:rsidRDefault="00794D2A" w:rsidP="007C59E6">
      <w:pPr>
        <w:widowControl w:val="0"/>
        <w:contextualSpacing/>
        <w:jc w:val="both"/>
        <w:rPr>
          <w:rFonts w:eastAsia="Times New Roman"/>
          <w:lang w:eastAsia="lv-LV"/>
        </w:rPr>
      </w:pPr>
    </w:p>
    <w:p w14:paraId="0AC40C28" w14:textId="23DF02BE" w:rsidR="00794D2A" w:rsidRPr="007C59E6" w:rsidRDefault="0DA0E1A2" w:rsidP="007C59E6">
      <w:pPr>
        <w:widowControl w:val="0"/>
        <w:contextualSpacing/>
        <w:jc w:val="center"/>
        <w:rPr>
          <w:rFonts w:eastAsia="Times New Roman"/>
          <w:b/>
          <w:bCs/>
        </w:rPr>
      </w:pPr>
      <w:r w:rsidRPr="007C59E6">
        <w:rPr>
          <w:rFonts w:eastAsia="Times New Roman"/>
          <w:b/>
          <w:bCs/>
        </w:rPr>
        <w:t>II Pozitronu emisijas tomogrāfijas ar datortomogrāfiju</w:t>
      </w:r>
      <w:r w:rsidR="76C77576" w:rsidRPr="007C59E6">
        <w:rPr>
          <w:rFonts w:eastAsia="Times New Roman"/>
          <w:b/>
          <w:bCs/>
        </w:rPr>
        <w:t xml:space="preserve"> </w:t>
      </w:r>
      <w:r w:rsidRPr="007C59E6">
        <w:rPr>
          <w:rFonts w:eastAsia="Times New Roman"/>
          <w:b/>
          <w:bCs/>
        </w:rPr>
        <w:t>pakalpojuma sniegšanas kārtība</w:t>
      </w:r>
    </w:p>
    <w:p w14:paraId="1C94F53A" w14:textId="4AFFDC12" w:rsidR="00794D2A" w:rsidRPr="007C59E6" w:rsidRDefault="00794D2A" w:rsidP="007C59E6">
      <w:pPr>
        <w:widowControl w:val="0"/>
        <w:contextualSpacing/>
        <w:jc w:val="both"/>
        <w:rPr>
          <w:rFonts w:eastAsia="Times New Roman"/>
          <w:lang w:eastAsia="lv-LV"/>
        </w:rPr>
      </w:pPr>
    </w:p>
    <w:p w14:paraId="40912682" w14:textId="54FE0B6A" w:rsidR="00794D2A" w:rsidRPr="007C59E6" w:rsidRDefault="2ACD8803" w:rsidP="007C59E6">
      <w:pPr>
        <w:widowControl w:val="0"/>
        <w:numPr>
          <w:ilvl w:val="1"/>
          <w:numId w:val="5"/>
        </w:numPr>
        <w:ind w:left="0" w:firstLine="0"/>
        <w:contextualSpacing/>
        <w:jc w:val="both"/>
        <w:rPr>
          <w:rFonts w:eastAsia="Times New Roman"/>
          <w:lang w:eastAsia="lv-LV"/>
        </w:rPr>
      </w:pPr>
      <w:r w:rsidRPr="007C59E6">
        <w:rPr>
          <w:rFonts w:eastAsia="Times New Roman"/>
          <w:lang w:eastAsia="lv-LV"/>
        </w:rPr>
        <w:t>IZPILDĪTĀJS nodrošina, ka PET/DT</w:t>
      </w:r>
      <w:r w:rsidR="04A08062" w:rsidRPr="007C59E6">
        <w:rPr>
          <w:rFonts w:eastAsia="Times New Roman"/>
          <w:lang w:eastAsia="lv-LV"/>
        </w:rPr>
        <w:t xml:space="preserve"> </w:t>
      </w:r>
      <w:r w:rsidRPr="007C59E6">
        <w:rPr>
          <w:rFonts w:eastAsia="Times New Roman"/>
          <w:lang w:eastAsia="lv-LV"/>
        </w:rPr>
        <w:t>izmeklējums tiek veikts, pamatojoties uz VSIA „Rīgas Austrumu klīniskā universitātes slimnīca”, VSIA „Paula Stradiņa klīniskā universitātes slimnīca”, S</w:t>
      </w:r>
      <w:r w:rsidR="0B8A49DA" w:rsidRPr="007C59E6">
        <w:rPr>
          <w:rFonts w:eastAsia="Times New Roman"/>
          <w:lang w:eastAsia="lv-LV"/>
        </w:rPr>
        <w:t xml:space="preserve">abiedrība ar ierobežotu atbildību </w:t>
      </w:r>
      <w:r w:rsidRPr="007C59E6">
        <w:rPr>
          <w:rFonts w:eastAsia="Times New Roman"/>
          <w:lang w:eastAsia="lv-LV"/>
        </w:rPr>
        <w:t>„Daugavpils reģionālā slimnīca”, SIA „L</w:t>
      </w:r>
      <w:r w:rsidR="485FB53B" w:rsidRPr="007C59E6">
        <w:rPr>
          <w:rFonts w:eastAsia="Times New Roman"/>
          <w:lang w:eastAsia="lv-LV"/>
        </w:rPr>
        <w:t>IEPĀJAS REĢIONĀLĀ SLIMNĪCA</w:t>
      </w:r>
      <w:r w:rsidRPr="007C59E6">
        <w:rPr>
          <w:rFonts w:eastAsia="Times New Roman"/>
          <w:lang w:eastAsia="lv-LV"/>
        </w:rPr>
        <w:t>”, VSIA “Bērnu klīniskā universitātes slimnīca”, VSIA</w:t>
      </w:r>
      <w:r w:rsidR="75F2A3C4" w:rsidRPr="007C59E6">
        <w:rPr>
          <w:rFonts w:eastAsia="Times New Roman"/>
          <w:lang w:eastAsia="lv-LV"/>
        </w:rPr>
        <w:t xml:space="preserve"> </w:t>
      </w:r>
      <w:r w:rsidRPr="007C59E6">
        <w:rPr>
          <w:rFonts w:eastAsia="Times New Roman"/>
          <w:lang w:eastAsia="lv-LV"/>
        </w:rPr>
        <w:t>“Traumatoloģijas un ortopēdijas slimnīca” (turpmāk – visas kopā un katra atsevišķi Slimnīca) izsniegtu nosūtījumu, kuram pievienots konsīlija slēdziens, ja par šī izmeklējuma nepieciešamību ir lēmis ārstu konsīlijs</w:t>
      </w:r>
      <w:r w:rsidR="7A6BEF09" w:rsidRPr="007C59E6">
        <w:rPr>
          <w:rFonts w:eastAsia="Times New Roman"/>
          <w:lang w:eastAsia="lv-LV"/>
        </w:rPr>
        <w:t xml:space="preserve"> 1.3. un 1.4. punktā minētajā sastāvā, kā arī 1.5. punktā minētajā gadījumā.</w:t>
      </w:r>
      <w:r w:rsidRPr="007C59E6">
        <w:rPr>
          <w:rFonts w:eastAsia="Times New Roman"/>
          <w:lang w:eastAsia="lv-LV"/>
        </w:rPr>
        <w:t xml:space="preserve"> </w:t>
      </w:r>
    </w:p>
    <w:p w14:paraId="7275140A" w14:textId="483BF628" w:rsidR="00794D2A" w:rsidRPr="007C59E6" w:rsidRDefault="00794D2A" w:rsidP="007C59E6">
      <w:pPr>
        <w:widowControl w:val="0"/>
        <w:contextualSpacing/>
        <w:jc w:val="both"/>
        <w:rPr>
          <w:rFonts w:eastAsia="Times New Roman"/>
          <w:lang w:eastAsia="lv-LV"/>
        </w:rPr>
      </w:pPr>
    </w:p>
    <w:p w14:paraId="1CBCDCFB" w14:textId="51E26E17" w:rsidR="00794D2A" w:rsidRPr="007C59E6" w:rsidRDefault="37BDDAFC" w:rsidP="007C59E6">
      <w:pPr>
        <w:widowControl w:val="0"/>
        <w:numPr>
          <w:ilvl w:val="1"/>
          <w:numId w:val="5"/>
        </w:numPr>
        <w:ind w:left="0" w:firstLine="0"/>
        <w:contextualSpacing/>
        <w:jc w:val="both"/>
        <w:rPr>
          <w:rFonts w:eastAsia="Times New Roman"/>
          <w:lang w:eastAsia="lv-LV"/>
        </w:rPr>
      </w:pPr>
      <w:r w:rsidRPr="007C59E6">
        <w:rPr>
          <w:color w:val="000000" w:themeColor="text1"/>
          <w:lang w:eastAsia="lv-LV"/>
        </w:rPr>
        <w:t xml:space="preserve">IZPILDĪTĀJS nodrošina visu nepieciešamo, lai pacientu sagatavotu </w:t>
      </w:r>
      <w:r w:rsidRPr="007C59E6">
        <w:rPr>
          <w:rStyle w:val="cf01"/>
          <w:rFonts w:ascii="Times New Roman" w:hAnsi="Times New Roman" w:cs="Times New Roman"/>
        </w:rPr>
        <w:t xml:space="preserve">PET/DT </w:t>
      </w:r>
      <w:r w:rsidRPr="007C59E6">
        <w:rPr>
          <w:color w:val="000000" w:themeColor="text1"/>
          <w:lang w:eastAsia="lv-LV"/>
        </w:rPr>
        <w:t xml:space="preserve">izmeklējuma veikšanai (piemēram, pieejamo pacienta iepriekš veikto izmeklējumu izskatīšana, tajā skaitā nieru funkciju novērtēšana, pamatojoties uz iepriekšēju analīžu rezultātiem, glikozes līmeņa un asinsspiediena mērīšana, atbilstošas telpas, kur pacientam sagaidīt izmeklējuma veikšanu, precīza auguma un svara noteikšana), izņemot gadījumus, ja izmeklējumu veic </w:t>
      </w:r>
      <w:proofErr w:type="spellStart"/>
      <w:r w:rsidRPr="007C59E6">
        <w:rPr>
          <w:color w:val="000000" w:themeColor="text1"/>
          <w:lang w:eastAsia="lv-LV"/>
        </w:rPr>
        <w:t>stacionētam</w:t>
      </w:r>
      <w:proofErr w:type="spellEnd"/>
      <w:r w:rsidRPr="007C59E6">
        <w:rPr>
          <w:color w:val="000000" w:themeColor="text1"/>
          <w:lang w:eastAsia="lv-LV"/>
        </w:rPr>
        <w:t xml:space="preserve"> pacientam, kad pacientu izmeklējuma veikšanai sagatavo Slimnīca.</w:t>
      </w:r>
    </w:p>
    <w:p w14:paraId="7C58B185" w14:textId="60689D84" w:rsidR="00794D2A" w:rsidRPr="007C59E6" w:rsidRDefault="00794D2A" w:rsidP="007C59E6">
      <w:pPr>
        <w:widowControl w:val="0"/>
        <w:contextualSpacing/>
        <w:jc w:val="both"/>
        <w:rPr>
          <w:rFonts w:eastAsia="Times New Roman"/>
          <w:lang w:eastAsia="lv-LV"/>
        </w:rPr>
      </w:pPr>
    </w:p>
    <w:p w14:paraId="4B5ADE49" w14:textId="46EFACBE" w:rsidR="00794D2A" w:rsidRPr="007C59E6" w:rsidRDefault="37BDDAFC" w:rsidP="007C59E6">
      <w:pPr>
        <w:widowControl w:val="0"/>
        <w:numPr>
          <w:ilvl w:val="1"/>
          <w:numId w:val="5"/>
        </w:numPr>
        <w:ind w:left="0" w:firstLine="0"/>
        <w:contextualSpacing/>
        <w:jc w:val="both"/>
        <w:rPr>
          <w:rFonts w:eastAsia="Times New Roman"/>
          <w:lang w:eastAsia="lv-LV"/>
        </w:rPr>
      </w:pPr>
      <w:r w:rsidRPr="007C59E6">
        <w:rPr>
          <w:color w:val="000000" w:themeColor="text1"/>
          <w:lang w:eastAsia="lv-LV"/>
        </w:rPr>
        <w:t xml:space="preserve">IZPILDĪTĀJS informē </w:t>
      </w:r>
      <w:r w:rsidRPr="007C59E6">
        <w:rPr>
          <w:rFonts w:eastAsia="Times New Roman"/>
          <w:lang w:eastAsia="lv-LV"/>
        </w:rPr>
        <w:t>pacientu par:</w:t>
      </w:r>
    </w:p>
    <w:p w14:paraId="618AC014" w14:textId="55C5F622" w:rsidR="00794D2A" w:rsidRPr="007C59E6" w:rsidRDefault="37BDDAFC" w:rsidP="007C59E6">
      <w:pPr>
        <w:pStyle w:val="ListParagraph"/>
        <w:widowControl w:val="0"/>
        <w:numPr>
          <w:ilvl w:val="2"/>
          <w:numId w:val="5"/>
        </w:numPr>
        <w:ind w:left="0" w:firstLine="0"/>
        <w:jc w:val="both"/>
      </w:pPr>
      <w:r w:rsidRPr="007C59E6">
        <w:t>pareizu gatavošanos PET/DT izmeklējuma veikšanai;</w:t>
      </w:r>
    </w:p>
    <w:p w14:paraId="778B0ABB" w14:textId="77777777" w:rsidR="00794D2A" w:rsidRPr="007C59E6" w:rsidRDefault="37BDDAFC" w:rsidP="007C59E6">
      <w:pPr>
        <w:pStyle w:val="ListParagraph"/>
        <w:widowControl w:val="0"/>
        <w:numPr>
          <w:ilvl w:val="2"/>
          <w:numId w:val="5"/>
        </w:numPr>
        <w:ind w:left="0" w:firstLine="0"/>
        <w:jc w:val="both"/>
      </w:pPr>
      <w:proofErr w:type="spellStart"/>
      <w:r w:rsidRPr="007C59E6">
        <w:t>radiofarmaceitiskā</w:t>
      </w:r>
      <w:proofErr w:type="spellEnd"/>
      <w:r w:rsidRPr="007C59E6">
        <w:t xml:space="preserve"> preparātu ievadīšanu un izmeklējuma norisi;</w:t>
      </w:r>
    </w:p>
    <w:p w14:paraId="14A513CE" w14:textId="77777777" w:rsidR="00794D2A" w:rsidRPr="007C59E6" w:rsidRDefault="37BDDAFC" w:rsidP="007C59E6">
      <w:pPr>
        <w:pStyle w:val="ListParagraph"/>
        <w:widowControl w:val="0"/>
        <w:numPr>
          <w:ilvl w:val="2"/>
          <w:numId w:val="5"/>
        </w:numPr>
        <w:ind w:left="0" w:firstLine="0"/>
        <w:jc w:val="both"/>
      </w:pPr>
      <w:r w:rsidRPr="007C59E6">
        <w:lastRenderedPageBreak/>
        <w:t>veicamajām darbībām pēc izmeklējuma;</w:t>
      </w:r>
    </w:p>
    <w:p w14:paraId="0A01AAD2" w14:textId="77777777" w:rsidR="00794D2A" w:rsidRPr="007C59E6" w:rsidRDefault="37BDDAFC" w:rsidP="007C59E6">
      <w:pPr>
        <w:pStyle w:val="ListParagraph"/>
        <w:widowControl w:val="0"/>
        <w:numPr>
          <w:ilvl w:val="2"/>
          <w:numId w:val="5"/>
        </w:numPr>
        <w:ind w:left="0" w:firstLine="0"/>
        <w:jc w:val="both"/>
      </w:pPr>
      <w:r w:rsidRPr="007C59E6">
        <w:t>rezultātu saņemšanas kārtību.</w:t>
      </w:r>
    </w:p>
    <w:p w14:paraId="60125779" w14:textId="36BC89B6" w:rsidR="00794D2A" w:rsidRPr="007C59E6" w:rsidRDefault="00794D2A" w:rsidP="007C59E6">
      <w:pPr>
        <w:pStyle w:val="ListParagraph"/>
        <w:widowControl w:val="0"/>
        <w:ind w:left="0"/>
        <w:jc w:val="both"/>
      </w:pPr>
    </w:p>
    <w:p w14:paraId="2DE5A562" w14:textId="47DF4434" w:rsidR="00794D2A" w:rsidRPr="007C59E6" w:rsidRDefault="28DEBDF0" w:rsidP="007C59E6">
      <w:pPr>
        <w:widowControl w:val="0"/>
        <w:numPr>
          <w:ilvl w:val="1"/>
          <w:numId w:val="5"/>
        </w:numPr>
        <w:ind w:left="0" w:firstLine="0"/>
        <w:contextualSpacing/>
        <w:jc w:val="both"/>
      </w:pPr>
      <w:r w:rsidRPr="007C59E6">
        <w:rPr>
          <w:color w:val="000000" w:themeColor="text1"/>
          <w:lang w:eastAsia="lv-LV"/>
        </w:rPr>
        <w:t>IZPILDĪTĀJS nodrošina PET/DT izmeklējuma apraksta sagatavošanu, kā arī pacienta un nosūtītāja informēšanu par izmeklējuma rezultātiem piecu darba dienu laikā pēc izmeklējuma veikšanas, ņemot vērā, ka apraksts satur tajā skaitā šādu informāciju:</w:t>
      </w:r>
    </w:p>
    <w:p w14:paraId="3511482C" w14:textId="0B62D7FD" w:rsidR="00794D2A" w:rsidRPr="007C59E6" w:rsidRDefault="28DEBDF0" w:rsidP="007C59E6">
      <w:pPr>
        <w:pStyle w:val="ListParagraph"/>
        <w:widowControl w:val="0"/>
        <w:numPr>
          <w:ilvl w:val="2"/>
          <w:numId w:val="5"/>
        </w:numPr>
        <w:ind w:left="0" w:firstLine="0"/>
        <w:jc w:val="both"/>
      </w:pPr>
      <w:r w:rsidRPr="007C59E6">
        <w:t xml:space="preserve">glikozes līmenis pirms </w:t>
      </w:r>
      <w:proofErr w:type="spellStart"/>
      <w:r w:rsidRPr="007C59E6">
        <w:t>radiofarmaceitiskā</w:t>
      </w:r>
      <w:proofErr w:type="spellEnd"/>
      <w:r w:rsidRPr="007C59E6">
        <w:t xml:space="preserve"> preparāta ievadīšanas;</w:t>
      </w:r>
    </w:p>
    <w:p w14:paraId="48F776CF" w14:textId="0FBD27A0" w:rsidR="00794D2A" w:rsidRPr="007C59E6" w:rsidRDefault="28DEBDF0" w:rsidP="007C59E6">
      <w:pPr>
        <w:pStyle w:val="ListParagraph"/>
        <w:widowControl w:val="0"/>
        <w:numPr>
          <w:ilvl w:val="2"/>
          <w:numId w:val="5"/>
        </w:numPr>
        <w:ind w:left="0" w:firstLine="0"/>
        <w:jc w:val="both"/>
      </w:pPr>
      <w:r w:rsidRPr="007C59E6">
        <w:t xml:space="preserve">izmantotais </w:t>
      </w:r>
      <w:proofErr w:type="spellStart"/>
      <w:r w:rsidRPr="007C59E6">
        <w:t>radiofarmaceitiskais</w:t>
      </w:r>
      <w:proofErr w:type="spellEnd"/>
      <w:r w:rsidRPr="007C59E6">
        <w:t xml:space="preserve"> preparāts, tā deva, aktivitāte (</w:t>
      </w:r>
      <w:proofErr w:type="spellStart"/>
      <w:r w:rsidRPr="007C59E6">
        <w:t>MBq</w:t>
      </w:r>
      <w:proofErr w:type="spellEnd"/>
      <w:r w:rsidRPr="007C59E6">
        <w:t xml:space="preserve"> un/vai </w:t>
      </w:r>
      <w:proofErr w:type="spellStart"/>
      <w:r w:rsidRPr="007C59E6">
        <w:t>mCi</w:t>
      </w:r>
      <w:proofErr w:type="spellEnd"/>
      <w:r w:rsidRPr="007C59E6">
        <w:t>), ievadīšanas veids un laiks no ievadīšanas līdz izmeklējumam;</w:t>
      </w:r>
    </w:p>
    <w:p w14:paraId="066DD437" w14:textId="481ED07D" w:rsidR="00794D2A" w:rsidRPr="007C59E6" w:rsidRDefault="28DEBDF0" w:rsidP="007C59E6">
      <w:pPr>
        <w:pStyle w:val="ListParagraph"/>
        <w:widowControl w:val="0"/>
        <w:numPr>
          <w:ilvl w:val="2"/>
          <w:numId w:val="5"/>
        </w:numPr>
        <w:ind w:left="0" w:firstLine="0"/>
        <w:jc w:val="both"/>
      </w:pPr>
      <w:r w:rsidRPr="007C59E6">
        <w:t>citi ievadītie medikamenti/kontrastvielas (ja lietoti) un to devas;</w:t>
      </w:r>
    </w:p>
    <w:p w14:paraId="0351833A" w14:textId="027CDE96" w:rsidR="00794D2A" w:rsidRPr="007C59E6" w:rsidRDefault="28DEBDF0" w:rsidP="007C59E6">
      <w:pPr>
        <w:pStyle w:val="ListParagraph"/>
        <w:widowControl w:val="0"/>
        <w:numPr>
          <w:ilvl w:val="2"/>
          <w:numId w:val="5"/>
        </w:numPr>
        <w:ind w:left="0" w:firstLine="0"/>
        <w:jc w:val="both"/>
      </w:pPr>
      <w:r w:rsidRPr="007C59E6">
        <w:t>izmeklējuma norises apraksts (t.sk., pacienta novietojums, roku novietojums);</w:t>
      </w:r>
    </w:p>
    <w:p w14:paraId="2435546A" w14:textId="7760468C" w:rsidR="00794D2A" w:rsidRPr="007C59E6" w:rsidRDefault="28DEBDF0" w:rsidP="007C59E6">
      <w:pPr>
        <w:pStyle w:val="ListParagraph"/>
        <w:widowControl w:val="0"/>
        <w:numPr>
          <w:ilvl w:val="2"/>
          <w:numId w:val="5"/>
        </w:numPr>
        <w:ind w:left="0" w:firstLine="0"/>
        <w:jc w:val="both"/>
      </w:pPr>
      <w:r w:rsidRPr="007C59E6">
        <w:t>izmeklējuma atradnes un to interpretācija;</w:t>
      </w:r>
    </w:p>
    <w:p w14:paraId="19B4B0C2" w14:textId="7F543CD5" w:rsidR="00794D2A" w:rsidRPr="007C59E6" w:rsidRDefault="28DEBDF0" w:rsidP="007C59E6">
      <w:pPr>
        <w:pStyle w:val="ListParagraph"/>
        <w:widowControl w:val="0"/>
        <w:numPr>
          <w:ilvl w:val="2"/>
          <w:numId w:val="5"/>
        </w:numPr>
        <w:ind w:left="0" w:firstLine="0"/>
        <w:jc w:val="both"/>
      </w:pPr>
      <w:r w:rsidRPr="007C59E6">
        <w:t>ja izmeklējuma rezultāts ir salīdzināts ar iepriekš veiktiem izmeklējumiem, tad jānorāda secinājumi, kas radušies, veicot izmeklējumu salīdzinājumu;</w:t>
      </w:r>
    </w:p>
    <w:p w14:paraId="2CD9136D" w14:textId="0D936FE0" w:rsidR="00794D2A" w:rsidRPr="007C59E6" w:rsidRDefault="28DEBDF0" w:rsidP="007C59E6">
      <w:pPr>
        <w:pStyle w:val="ListParagraph"/>
        <w:widowControl w:val="0"/>
        <w:numPr>
          <w:ilvl w:val="2"/>
          <w:numId w:val="5"/>
        </w:numPr>
        <w:ind w:left="0" w:firstLine="0"/>
        <w:jc w:val="both"/>
      </w:pPr>
      <w:r w:rsidRPr="007C59E6">
        <w:t>slēdziens;</w:t>
      </w:r>
    </w:p>
    <w:p w14:paraId="151D3C47" w14:textId="1BCA9922" w:rsidR="00794D2A" w:rsidRPr="007C59E6" w:rsidRDefault="28DEBDF0" w:rsidP="007C59E6">
      <w:pPr>
        <w:pStyle w:val="ListParagraph"/>
        <w:widowControl w:val="0"/>
        <w:numPr>
          <w:ilvl w:val="2"/>
          <w:numId w:val="5"/>
        </w:numPr>
        <w:ind w:left="0" w:firstLine="0"/>
        <w:jc w:val="both"/>
        <w:rPr>
          <w:rFonts w:eastAsiaTheme="minorEastAsia"/>
        </w:rPr>
      </w:pPr>
      <w:r w:rsidRPr="007C59E6">
        <w:rPr>
          <w:rFonts w:eastAsiaTheme="minorEastAsia"/>
        </w:rPr>
        <w:t>rekomendācijas (ta</w:t>
      </w:r>
      <w:r w:rsidR="5576D053" w:rsidRPr="007C59E6">
        <w:rPr>
          <w:rFonts w:eastAsiaTheme="minorEastAsia"/>
        </w:rPr>
        <w:t>jā</w:t>
      </w:r>
      <w:r w:rsidRPr="007C59E6">
        <w:rPr>
          <w:rFonts w:eastAsiaTheme="minorEastAsia"/>
        </w:rPr>
        <w:t xml:space="preserve"> skaitā</w:t>
      </w:r>
      <w:r w:rsidR="18BB5230" w:rsidRPr="007C59E6">
        <w:rPr>
          <w:rFonts w:eastAsiaTheme="minorEastAsia"/>
        </w:rPr>
        <w:t>,</w:t>
      </w:r>
      <w:r w:rsidRPr="007C59E6">
        <w:rPr>
          <w:rFonts w:eastAsiaTheme="minorEastAsia"/>
        </w:rPr>
        <w:t xml:space="preserve"> ja vajadzīgs – nepieciešamie tālākie izmeklējumi).</w:t>
      </w:r>
    </w:p>
    <w:p w14:paraId="7E16B596" w14:textId="076E7805" w:rsidR="00794D2A" w:rsidRPr="007C59E6" w:rsidRDefault="00794D2A" w:rsidP="007C59E6">
      <w:pPr>
        <w:widowControl w:val="0"/>
        <w:contextualSpacing/>
        <w:jc w:val="both"/>
        <w:rPr>
          <w:rFonts w:eastAsiaTheme="minorEastAsia"/>
        </w:rPr>
      </w:pPr>
    </w:p>
    <w:p w14:paraId="0C0181CE" w14:textId="62051777" w:rsidR="00794D2A" w:rsidRPr="007C59E6" w:rsidRDefault="7A2E9AAC" w:rsidP="007C59E6">
      <w:pPr>
        <w:widowControl w:val="0"/>
        <w:numPr>
          <w:ilvl w:val="1"/>
          <w:numId w:val="5"/>
        </w:numPr>
        <w:ind w:left="0" w:firstLine="0"/>
        <w:contextualSpacing/>
        <w:jc w:val="both"/>
        <w:rPr>
          <w:color w:val="000000" w:themeColor="text1"/>
          <w:lang w:eastAsia="lv-LV"/>
        </w:rPr>
      </w:pPr>
      <w:r w:rsidRPr="007C59E6">
        <w:rPr>
          <w:color w:val="000000" w:themeColor="text1"/>
          <w:lang w:eastAsia="lv-LV"/>
        </w:rPr>
        <w:t>IZPILDĪTĀJS nodrošina PET/DT izmeklējuma datu un izmeklējuma apraksta ievietošanu vienotajā veselības nozares elektroniskajā informācijas sistēmā, norādot kodu 1.3.6.1.4.1.38760.1.2.3.1371 ar vērtību “PT” un kodu 1.3.6.1.4.1.38760.1.2.3.1349 ar vērtību “DICOM izmeklējums” XML failā, piecu darba dienu laikā pēc izmeklējuma veikšanas, kā arī pēc pacienta pieprasījuma un bez papildu samaksas izsniedz pacientam iegūtos vizuālās diagnostikas datus saglabātus ārējā informācijas nesējā.</w:t>
      </w:r>
    </w:p>
    <w:p w14:paraId="3CC8FFE5" w14:textId="14B88352" w:rsidR="00794D2A" w:rsidRPr="007C59E6" w:rsidRDefault="00794D2A" w:rsidP="007C59E6">
      <w:pPr>
        <w:widowControl w:val="0"/>
        <w:contextualSpacing/>
        <w:jc w:val="both"/>
        <w:rPr>
          <w:color w:val="000000" w:themeColor="text1"/>
          <w:lang w:eastAsia="lv-LV"/>
        </w:rPr>
      </w:pPr>
    </w:p>
    <w:p w14:paraId="3345C25C" w14:textId="2EBDD773" w:rsidR="00794D2A" w:rsidRPr="007C59E6" w:rsidRDefault="7A2E9AAC" w:rsidP="007C59E6">
      <w:pPr>
        <w:widowControl w:val="0"/>
        <w:numPr>
          <w:ilvl w:val="1"/>
          <w:numId w:val="5"/>
        </w:numPr>
        <w:ind w:left="0" w:firstLine="0"/>
        <w:contextualSpacing/>
        <w:jc w:val="both"/>
        <w:rPr>
          <w:rStyle w:val="cf01"/>
          <w:rFonts w:ascii="Times New Roman" w:hAnsi="Times New Roman" w:cs="Times New Roman"/>
        </w:rPr>
      </w:pPr>
      <w:r w:rsidRPr="007C59E6">
        <w:rPr>
          <w:color w:val="000000" w:themeColor="text1"/>
          <w:lang w:eastAsia="lv-LV"/>
        </w:rPr>
        <w:t>Veicot ļaundabīgo audzēju sekundāro diagnostiku, ievada  veidlapas Nr.024/u „Ambulatorā pacienta talons” (turpmāk – talons) informāciju Vadības informācijas sistēmā (turpmāk – VIS), IZPILDĪTĀJS norāda pacientu grupa  „C2 - Ļaundabīgo audzēju sekundārā diagnostika”.</w:t>
      </w:r>
    </w:p>
    <w:p w14:paraId="39A0F2CB" w14:textId="346D650D" w:rsidR="00794D2A" w:rsidRPr="007C59E6" w:rsidRDefault="00794D2A" w:rsidP="007C59E6">
      <w:pPr>
        <w:widowControl w:val="0"/>
        <w:contextualSpacing/>
        <w:jc w:val="both"/>
        <w:rPr>
          <w:rStyle w:val="cf01"/>
          <w:rFonts w:ascii="Times New Roman" w:hAnsi="Times New Roman" w:cs="Times New Roman"/>
        </w:rPr>
      </w:pPr>
    </w:p>
    <w:p w14:paraId="77C6056E" w14:textId="19352C2D" w:rsidR="00794D2A" w:rsidRPr="007C59E6" w:rsidRDefault="5459B986" w:rsidP="007C59E6">
      <w:pPr>
        <w:widowControl w:val="0"/>
        <w:numPr>
          <w:ilvl w:val="1"/>
          <w:numId w:val="5"/>
        </w:numPr>
        <w:ind w:left="0" w:firstLine="0"/>
        <w:contextualSpacing/>
        <w:jc w:val="both"/>
        <w:rPr>
          <w:rFonts w:eastAsia="Times New Roman"/>
        </w:rPr>
      </w:pPr>
      <w:r w:rsidRPr="007C59E6">
        <w:rPr>
          <w:rStyle w:val="cf01"/>
          <w:rFonts w:ascii="Times New Roman" w:hAnsi="Times New Roman" w:cs="Times New Roman"/>
        </w:rPr>
        <w:t>Gadījumos, kad PET</w:t>
      </w:r>
      <w:r w:rsidR="4A479930" w:rsidRPr="007C59E6">
        <w:rPr>
          <w:rStyle w:val="cf01"/>
          <w:rFonts w:ascii="Times New Roman" w:hAnsi="Times New Roman" w:cs="Times New Roman"/>
        </w:rPr>
        <w:t>/DT</w:t>
      </w:r>
      <w:r w:rsidRPr="007C59E6">
        <w:rPr>
          <w:rStyle w:val="cf01"/>
          <w:rFonts w:ascii="Times New Roman" w:hAnsi="Times New Roman" w:cs="Times New Roman"/>
        </w:rPr>
        <w:t xml:space="preserve"> izmeklējumu saņem stacionārs pacients un IZPILDĪTĀJS par to saņem samaksu no </w:t>
      </w:r>
      <w:r w:rsidR="46FDC544" w:rsidRPr="007C59E6">
        <w:rPr>
          <w:rStyle w:val="cf01"/>
          <w:rFonts w:ascii="Times New Roman" w:hAnsi="Times New Roman" w:cs="Times New Roman"/>
        </w:rPr>
        <w:t>S</w:t>
      </w:r>
      <w:r w:rsidRPr="007C59E6">
        <w:rPr>
          <w:rStyle w:val="cf01"/>
          <w:rFonts w:ascii="Times New Roman" w:hAnsi="Times New Roman" w:cs="Times New Roman"/>
        </w:rPr>
        <w:t xml:space="preserve">limnīcas, kas nosūtījusi pacientu, IZPILDĪTĀJS neievada </w:t>
      </w:r>
      <w:r w:rsidR="4A479930" w:rsidRPr="007C59E6">
        <w:rPr>
          <w:rStyle w:val="cf01"/>
          <w:rFonts w:ascii="Times New Roman" w:hAnsi="Times New Roman" w:cs="Times New Roman"/>
        </w:rPr>
        <w:t>VIS</w:t>
      </w:r>
      <w:r w:rsidRPr="007C59E6">
        <w:rPr>
          <w:rStyle w:val="cf01"/>
          <w:rFonts w:ascii="Times New Roman" w:hAnsi="Times New Roman" w:cs="Times New Roman"/>
        </w:rPr>
        <w:t xml:space="preserve"> talon</w:t>
      </w:r>
      <w:r w:rsidR="4A479930" w:rsidRPr="007C59E6">
        <w:rPr>
          <w:rStyle w:val="cf01"/>
          <w:rFonts w:ascii="Times New Roman" w:hAnsi="Times New Roman" w:cs="Times New Roman"/>
        </w:rPr>
        <w:t>u ar</w:t>
      </w:r>
      <w:r w:rsidRPr="007C59E6">
        <w:rPr>
          <w:rStyle w:val="cf01"/>
          <w:rFonts w:ascii="Times New Roman" w:hAnsi="Times New Roman" w:cs="Times New Roman"/>
        </w:rPr>
        <w:t xml:space="preserve"> informāciju par stacionāram pacientam veikto PET</w:t>
      </w:r>
      <w:r w:rsidR="39F60599" w:rsidRPr="007C59E6">
        <w:rPr>
          <w:rStyle w:val="cf01"/>
          <w:rFonts w:ascii="Times New Roman" w:hAnsi="Times New Roman" w:cs="Times New Roman"/>
        </w:rPr>
        <w:t>/DT</w:t>
      </w:r>
      <w:r w:rsidRPr="007C59E6">
        <w:rPr>
          <w:rStyle w:val="cf01"/>
          <w:rFonts w:ascii="Times New Roman" w:hAnsi="Times New Roman" w:cs="Times New Roman"/>
        </w:rPr>
        <w:t xml:space="preserve"> izmeklējumu.</w:t>
      </w:r>
    </w:p>
    <w:p w14:paraId="01C5D2EC" w14:textId="72407324" w:rsidR="00794D2A" w:rsidRPr="007C59E6" w:rsidRDefault="00794D2A" w:rsidP="007C59E6">
      <w:pPr>
        <w:widowControl w:val="0"/>
        <w:contextualSpacing/>
        <w:jc w:val="both"/>
        <w:rPr>
          <w:rFonts w:eastAsia="Times New Roman"/>
        </w:rPr>
      </w:pPr>
    </w:p>
    <w:p w14:paraId="64DD9595" w14:textId="090089DC" w:rsidR="00794D2A" w:rsidRPr="007C59E6" w:rsidRDefault="5459B986" w:rsidP="007C59E6">
      <w:pPr>
        <w:widowControl w:val="0"/>
        <w:numPr>
          <w:ilvl w:val="1"/>
          <w:numId w:val="5"/>
        </w:numPr>
        <w:ind w:left="0" w:firstLine="0"/>
        <w:contextualSpacing/>
        <w:jc w:val="both"/>
      </w:pPr>
      <w:r w:rsidRPr="007C59E6">
        <w:t xml:space="preserve">Apmaksu par </w:t>
      </w:r>
      <w:r w:rsidR="5AE6B2D6" w:rsidRPr="007C59E6">
        <w:t xml:space="preserve">ambulatori </w:t>
      </w:r>
      <w:r w:rsidRPr="007C59E6">
        <w:t xml:space="preserve">sniegtajiem pakalpojumiem saskaņā ar </w:t>
      </w:r>
      <w:r w:rsidR="2B477737" w:rsidRPr="007C59E6">
        <w:t>Vienotā l</w:t>
      </w:r>
      <w:r w:rsidRPr="007C59E6">
        <w:t xml:space="preserve">īguma </w:t>
      </w:r>
      <w:r w:rsidR="2E94761D" w:rsidRPr="007C59E6">
        <w:t>1.pielikum</w:t>
      </w:r>
      <w:r w:rsidR="1F270451" w:rsidRPr="007C59E6">
        <w:t>ā PET/DT</w:t>
      </w:r>
      <w:r w:rsidRPr="007C59E6">
        <w:t xml:space="preserve"> norādītaj</w:t>
      </w:r>
      <w:r w:rsidR="6D3906A3" w:rsidRPr="007C59E6">
        <w:t>iem</w:t>
      </w:r>
      <w:r w:rsidRPr="007C59E6">
        <w:t xml:space="preserve"> </w:t>
      </w:r>
      <w:r w:rsidR="677BD054" w:rsidRPr="007C59E6">
        <w:t>nosacījumiem</w:t>
      </w:r>
      <w:r w:rsidRPr="007C59E6">
        <w:t xml:space="preserve"> DIENESTS veic atbilstoši faktiski sniegto pakalpojumu apjomam.</w:t>
      </w:r>
    </w:p>
    <w:p w14:paraId="0034D9FA" w14:textId="529C74FD" w:rsidR="00794D2A" w:rsidRPr="007C59E6" w:rsidRDefault="00794D2A" w:rsidP="007C59E6">
      <w:pPr>
        <w:widowControl w:val="0"/>
        <w:contextualSpacing/>
        <w:jc w:val="both"/>
        <w:rPr>
          <w:highlight w:val="green"/>
        </w:rPr>
      </w:pPr>
    </w:p>
    <w:p w14:paraId="06E7FAD6" w14:textId="7CABBE6B" w:rsidR="00794D2A" w:rsidRPr="007C59E6" w:rsidRDefault="5459B986" w:rsidP="007C59E6">
      <w:pPr>
        <w:widowControl w:val="0"/>
        <w:numPr>
          <w:ilvl w:val="1"/>
          <w:numId w:val="5"/>
        </w:numPr>
        <w:ind w:left="0" w:firstLine="0"/>
        <w:contextualSpacing/>
        <w:jc w:val="both"/>
      </w:pPr>
      <w:r w:rsidRPr="007C59E6">
        <w:t xml:space="preserve">Ja </w:t>
      </w:r>
      <w:r w:rsidR="498792F1" w:rsidRPr="007C59E6">
        <w:t xml:space="preserve">IZPILDĪTĀJS </w:t>
      </w:r>
      <w:r w:rsidRPr="007C59E6">
        <w:t>tehnisku iemeslu dēļ nevar nodrošināt PET/DT 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14:paraId="2C3D2DF3" w14:textId="058A2AFE" w:rsidR="00794D2A" w:rsidRPr="007C59E6" w:rsidRDefault="00794D2A" w:rsidP="007C59E6">
      <w:pPr>
        <w:widowControl w:val="0"/>
        <w:contextualSpacing/>
        <w:jc w:val="both"/>
      </w:pPr>
    </w:p>
    <w:p w14:paraId="59F5214D" w14:textId="6379DF37" w:rsidR="00794D2A" w:rsidRPr="007C59E6" w:rsidRDefault="5459B986" w:rsidP="007C59E6">
      <w:pPr>
        <w:widowControl w:val="0"/>
        <w:numPr>
          <w:ilvl w:val="1"/>
          <w:numId w:val="5"/>
        </w:numPr>
        <w:ind w:left="0" w:firstLine="0"/>
        <w:contextualSpacing/>
        <w:jc w:val="both"/>
      </w:pPr>
      <w:r w:rsidRPr="007C59E6">
        <w:t xml:space="preserve">Darbinieku vai tehnisko iekārtu maiņas gadījumā IZPILDĪTĀJS </w:t>
      </w:r>
      <w:r w:rsidR="4A479930" w:rsidRPr="007C59E6">
        <w:t xml:space="preserve">ne vēlāk kā piecu darba dienu laikā no izmaiņu veikšanas </w:t>
      </w:r>
      <w:r w:rsidRPr="007C59E6">
        <w:t>informē DIENESTU par attiecīgā darbinieka vai tehniskās iekārtas atbilstību 2018.gada PET/DT pakalpojumu sniedzēju atlases procedūras nolikumā norādītajām prasībām.</w:t>
      </w:r>
    </w:p>
    <w:p w14:paraId="0B812913" w14:textId="30809D49" w:rsidR="00794D2A" w:rsidRPr="007C59E6" w:rsidRDefault="00794D2A" w:rsidP="007C59E6">
      <w:pPr>
        <w:widowControl w:val="0"/>
        <w:contextualSpacing/>
        <w:jc w:val="both"/>
      </w:pPr>
    </w:p>
    <w:p w14:paraId="76099328" w14:textId="4C3F2F77" w:rsidR="00794D2A" w:rsidRPr="007C59E6" w:rsidRDefault="5459B986" w:rsidP="007C59E6">
      <w:pPr>
        <w:widowControl w:val="0"/>
        <w:numPr>
          <w:ilvl w:val="1"/>
          <w:numId w:val="5"/>
        </w:numPr>
        <w:ind w:left="0" w:firstLine="0"/>
        <w:contextualSpacing/>
        <w:jc w:val="both"/>
      </w:pPr>
      <w:r w:rsidRPr="007C59E6">
        <w:t>Atbilstoši 2018.</w:t>
      </w:r>
      <w:r w:rsidR="42BA587F" w:rsidRPr="007C59E6">
        <w:t xml:space="preserve"> </w:t>
      </w:r>
      <w:r w:rsidRPr="007C59E6">
        <w:t>gada PET/DT pakalpojumu sniedzēju atlases procedūras nolikumam DIENESTS:</w:t>
      </w:r>
    </w:p>
    <w:p w14:paraId="2C805F03" w14:textId="3B38F300" w:rsidR="00794D2A" w:rsidRPr="007C59E6" w:rsidRDefault="5459B986" w:rsidP="007C59E6">
      <w:pPr>
        <w:pStyle w:val="ListParagraph"/>
        <w:widowControl w:val="0"/>
        <w:numPr>
          <w:ilvl w:val="2"/>
          <w:numId w:val="5"/>
        </w:numPr>
        <w:ind w:left="0" w:firstLine="0"/>
        <w:jc w:val="both"/>
        <w:rPr>
          <w:rFonts w:eastAsiaTheme="minorEastAsia"/>
        </w:rPr>
      </w:pPr>
      <w:r w:rsidRPr="007C59E6">
        <w:rPr>
          <w:rFonts w:eastAsiaTheme="minorEastAsia"/>
        </w:rPr>
        <w:t>attiecībā uz minēto veselības aprūpes pakalpojumu vērtē IZPILDĪTĀJA darbības kvalitāti vienu reizi gadā</w:t>
      </w:r>
      <w:r w:rsidR="540F7A65" w:rsidRPr="007C59E6">
        <w:rPr>
          <w:rFonts w:eastAsiaTheme="minorEastAsia"/>
        </w:rPr>
        <w:t xml:space="preserve"> </w:t>
      </w:r>
      <w:r w:rsidRPr="007C59E6">
        <w:rPr>
          <w:rFonts w:eastAsiaTheme="minorEastAsia"/>
        </w:rPr>
        <w:t xml:space="preserve">atbilstoši DIENESTA tīmekļvietnē </w:t>
      </w:r>
      <w:hyperlink r:id="rId10">
        <w:r w:rsidRPr="007C59E6">
          <w:rPr>
            <w:rFonts w:eastAsiaTheme="minorEastAsia"/>
          </w:rPr>
          <w:t>www.vmnvd.gov.lv</w:t>
        </w:r>
      </w:hyperlink>
      <w:r w:rsidRPr="007C59E6">
        <w:rPr>
          <w:rFonts w:eastAsiaTheme="minorEastAsia"/>
        </w:rPr>
        <w:t xml:space="preserve"> sadaļā  “Profesionāļiem” esošajā dokumentā </w:t>
      </w:r>
      <w:hyperlink r:id="rId11">
        <w:r w:rsidRPr="007C59E6">
          <w:rPr>
            <w:rFonts w:eastAsiaTheme="minorEastAsia"/>
          </w:rPr>
          <w:t>“Pozitronu emisijas tomogrāfijas ar datortomogrāfiju pakalpojuma sniedzēju darbības vērtēšanas kritēriji”</w:t>
        </w:r>
      </w:hyperlink>
      <w:r w:rsidRPr="007C59E6">
        <w:rPr>
          <w:rFonts w:eastAsiaTheme="minorEastAsia"/>
        </w:rPr>
        <w:t xml:space="preserve">  ietvertajiem kritērijiem;</w:t>
      </w:r>
    </w:p>
    <w:p w14:paraId="2ED4B5A4" w14:textId="48BB43B6" w:rsidR="00794D2A" w:rsidRPr="007C59E6" w:rsidRDefault="5459B986" w:rsidP="007C59E6">
      <w:pPr>
        <w:pStyle w:val="ListParagraph"/>
        <w:widowControl w:val="0"/>
        <w:numPr>
          <w:ilvl w:val="2"/>
          <w:numId w:val="5"/>
        </w:numPr>
        <w:ind w:left="0" w:firstLine="0"/>
        <w:jc w:val="both"/>
      </w:pPr>
      <w:r w:rsidRPr="007C59E6">
        <w:t xml:space="preserve">atbilstoši veiktajam darbības kvalitātes vērtējumam ir tiesīgs pārskatīt Līguma nosacījumus vai izbeigt Līgumu pirms termiņa par ambulatoro </w:t>
      </w:r>
      <w:r w:rsidRPr="007C59E6">
        <w:rPr>
          <w:rFonts w:eastAsia="Times New Roman"/>
        </w:rPr>
        <w:t xml:space="preserve">PET/DT </w:t>
      </w:r>
      <w:r w:rsidRPr="007C59E6">
        <w:t>pakalpojuma sniegšanu, ja vērtēšanas kritēriji nav izpildīti vai ir izpildīti nepilnīgi;</w:t>
      </w:r>
    </w:p>
    <w:p w14:paraId="37D7CB79" w14:textId="3D4A8197" w:rsidR="00794D2A" w:rsidRPr="007C59E6" w:rsidRDefault="5459B986" w:rsidP="007C59E6">
      <w:pPr>
        <w:pStyle w:val="ListParagraph"/>
        <w:widowControl w:val="0"/>
        <w:numPr>
          <w:ilvl w:val="2"/>
          <w:numId w:val="5"/>
        </w:numPr>
        <w:ind w:left="0" w:firstLine="0"/>
        <w:jc w:val="both"/>
        <w:rPr>
          <w:rFonts w:eastAsiaTheme="minorEastAsia"/>
        </w:rPr>
      </w:pPr>
      <w:r w:rsidRPr="007C59E6">
        <w:t xml:space="preserve">var mainīt vai papildināt DIENESTA tīmekļvietnē </w:t>
      </w:r>
      <w:hyperlink r:id="rId12">
        <w:r w:rsidRPr="007C59E6">
          <w:rPr>
            <w:rFonts w:eastAsia="Times New Roman"/>
            <w:u w:val="single"/>
          </w:rPr>
          <w:t>www.vmnvd.gov.lv</w:t>
        </w:r>
      </w:hyperlink>
      <w:r w:rsidRPr="007C59E6">
        <w:rPr>
          <w:rFonts w:eastAsia="Times New Roman"/>
        </w:rPr>
        <w:t xml:space="preserve"> sadaļā  “</w:t>
      </w:r>
      <w:r w:rsidRPr="007C59E6">
        <w:t>Profesionāļiem</w:t>
      </w:r>
      <w:r w:rsidRPr="007C59E6">
        <w:rPr>
          <w:rFonts w:eastAsia="Times New Roman"/>
        </w:rPr>
        <w:t xml:space="preserve">” </w:t>
      </w:r>
      <w:r w:rsidRPr="007C59E6">
        <w:t xml:space="preserve">esošajā dokumentā </w:t>
      </w:r>
      <w:hyperlink r:id="rId13">
        <w:r w:rsidRPr="007C59E6">
          <w:rPr>
            <w:rStyle w:val="Hyperlink"/>
            <w:color w:val="auto"/>
            <w:u w:val="none"/>
          </w:rPr>
          <w:t>“Pozitronu emisijas tomogrāfijas ar datortomogrāfiju pakalpojuma sniedzēju darbības vērtēšanas kritēriji”</w:t>
        </w:r>
      </w:hyperlink>
      <w:r w:rsidRPr="007C59E6">
        <w:t xml:space="preserve"> ietvertos kritērijus, par to rakstiski informējot IZPILDĪTĀJU.</w:t>
      </w:r>
    </w:p>
    <w:p w14:paraId="7EF65FBF" w14:textId="77777777" w:rsidR="00A713B8" w:rsidRPr="007C59E6" w:rsidRDefault="00A713B8" w:rsidP="007C59E6">
      <w:pPr>
        <w:widowControl w:val="0"/>
        <w:contextualSpacing/>
        <w:jc w:val="both"/>
      </w:pPr>
    </w:p>
    <w:p w14:paraId="1D6C95A4" w14:textId="77777777" w:rsidR="00A713B8" w:rsidRPr="007C59E6" w:rsidRDefault="00A713B8" w:rsidP="007C59E6">
      <w:pPr>
        <w:widowControl w:val="0"/>
        <w:contextualSpacing/>
        <w:jc w:val="both"/>
      </w:pPr>
    </w:p>
    <w:p w14:paraId="70CB85BE" w14:textId="77777777" w:rsidR="003D6B32" w:rsidRPr="007C59E6" w:rsidRDefault="003D6B32" w:rsidP="007C59E6">
      <w:pPr>
        <w:widowControl w:val="0"/>
        <w:contextualSpacing/>
        <w:jc w:val="both"/>
      </w:pPr>
    </w:p>
    <w:sectPr w:rsidR="003D6B32" w:rsidRPr="007C59E6">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CA18" w14:textId="77777777" w:rsidR="000D3015" w:rsidRDefault="000D3015" w:rsidP="00867EF1">
      <w:r>
        <w:separator/>
      </w:r>
    </w:p>
  </w:endnote>
  <w:endnote w:type="continuationSeparator" w:id="0">
    <w:p w14:paraId="1AA93F7C" w14:textId="77777777" w:rsidR="000D3015" w:rsidRDefault="000D3015" w:rsidP="0086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90D" w14:textId="77777777" w:rsidR="00867EF1" w:rsidRDefault="0086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0D7B" w14:textId="77777777" w:rsidR="00867EF1" w:rsidRDefault="00867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C423" w14:textId="77777777" w:rsidR="00867EF1" w:rsidRDefault="0086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EDC7" w14:textId="77777777" w:rsidR="000D3015" w:rsidRDefault="000D3015" w:rsidP="00867EF1">
      <w:r>
        <w:separator/>
      </w:r>
    </w:p>
  </w:footnote>
  <w:footnote w:type="continuationSeparator" w:id="0">
    <w:p w14:paraId="5335E4D6" w14:textId="77777777" w:rsidR="000D3015" w:rsidRDefault="000D3015" w:rsidP="0086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AE7B" w14:textId="77777777" w:rsidR="00867EF1" w:rsidRDefault="00867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AB39" w14:textId="77777777" w:rsidR="00867EF1" w:rsidRPr="00867EF1" w:rsidRDefault="00867EF1" w:rsidP="00867EF1">
    <w:pPr>
      <w:pStyle w:val="Header"/>
      <w:jc w:val="right"/>
    </w:pPr>
    <w:r w:rsidRPr="00867EF1">
      <w:rPr>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35C9" w14:textId="77777777" w:rsidR="00867EF1" w:rsidRDefault="00867EF1">
    <w:pPr>
      <w:pStyle w:val="Header"/>
    </w:pPr>
  </w:p>
</w:hdr>
</file>

<file path=word/intelligence2.xml><?xml version="1.0" encoding="utf-8"?>
<int2:intelligence xmlns:int2="http://schemas.microsoft.com/office/intelligence/2020/intelligence" xmlns:oel="http://schemas.microsoft.com/office/2019/extlst">
  <int2:observations>
    <int2:textHash int2:hashCode="M1OemgmrXHqs+2" int2:id="nGRBU2M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2D0D"/>
    <w:multiLevelType w:val="multilevel"/>
    <w:tmpl w:val="FFFFFFFF"/>
    <w:lvl w:ilvl="0">
      <w:start w:val="1"/>
      <w:numFmt w:val="decimal"/>
      <w:lvlText w:val="%1."/>
      <w:lvlJc w:val="left"/>
      <w:pPr>
        <w:ind w:left="2520" w:hanging="360"/>
      </w:pPr>
    </w:lvl>
    <w:lvl w:ilvl="1">
      <w:start w:val="1"/>
      <w:numFmt w:val="decimal"/>
      <w:lvlText w:val="%1.%2."/>
      <w:lvlJc w:val="left"/>
      <w:pPr>
        <w:ind w:left="3240" w:hanging="360"/>
      </w:pPr>
    </w:lvl>
    <w:lvl w:ilvl="2">
      <w:start w:val="4"/>
      <w:numFmt w:val="decimal"/>
      <w:lvlText w:val="%1.%2.%3."/>
      <w:lvlJc w:val="left"/>
      <w:pPr>
        <w:ind w:left="3960" w:hanging="180"/>
      </w:pPr>
    </w:lvl>
    <w:lvl w:ilvl="3">
      <w:start w:val="1"/>
      <w:numFmt w:val="decimal"/>
      <w:lvlText w:val="%1.%2.%3.%4."/>
      <w:lvlJc w:val="left"/>
      <w:pPr>
        <w:ind w:left="4680" w:hanging="360"/>
      </w:pPr>
    </w:lvl>
    <w:lvl w:ilvl="4">
      <w:start w:val="1"/>
      <w:numFmt w:val="decimal"/>
      <w:lvlText w:val="%1.%2.%3.%4.%5."/>
      <w:lvlJc w:val="left"/>
      <w:pPr>
        <w:ind w:left="5400" w:hanging="360"/>
      </w:pPr>
    </w:lvl>
    <w:lvl w:ilvl="5">
      <w:start w:val="1"/>
      <w:numFmt w:val="decimal"/>
      <w:lvlText w:val="%1.%2.%3.%4.%5.%6."/>
      <w:lvlJc w:val="left"/>
      <w:pPr>
        <w:ind w:left="6120" w:hanging="180"/>
      </w:pPr>
    </w:lvl>
    <w:lvl w:ilvl="6">
      <w:start w:val="1"/>
      <w:numFmt w:val="decimal"/>
      <w:lvlText w:val="%1.%2.%3.%4.%5.%6.%7."/>
      <w:lvlJc w:val="left"/>
      <w:pPr>
        <w:ind w:left="6840" w:hanging="360"/>
      </w:pPr>
    </w:lvl>
    <w:lvl w:ilvl="7">
      <w:start w:val="1"/>
      <w:numFmt w:val="decimal"/>
      <w:lvlText w:val="%1.%2.%3.%4.%5.%6.%7.%8."/>
      <w:lvlJc w:val="left"/>
      <w:pPr>
        <w:ind w:left="7560" w:hanging="360"/>
      </w:pPr>
    </w:lvl>
    <w:lvl w:ilvl="8">
      <w:start w:val="1"/>
      <w:numFmt w:val="decimal"/>
      <w:lvlText w:val="%1.%2.%3.%4.%5.%6.%7.%8.%9."/>
      <w:lvlJc w:val="left"/>
      <w:pPr>
        <w:ind w:left="8280" w:hanging="180"/>
      </w:pPr>
    </w:lvl>
  </w:abstractNum>
  <w:abstractNum w:abstractNumId="1" w15:restartNumberingAfterBreak="0">
    <w:nsid w:val="104E7541"/>
    <w:multiLevelType w:val="multilevel"/>
    <w:tmpl w:val="FFFFFFFF"/>
    <w:lvl w:ilvl="0">
      <w:start w:val="1"/>
      <w:numFmt w:val="decimal"/>
      <w:lvlText w:val="%1."/>
      <w:lvlJc w:val="left"/>
      <w:pPr>
        <w:ind w:left="2520" w:hanging="360"/>
      </w:pPr>
    </w:lvl>
    <w:lvl w:ilvl="1">
      <w:start w:val="1"/>
      <w:numFmt w:val="decimal"/>
      <w:lvlText w:val="%1.%2."/>
      <w:lvlJc w:val="left"/>
      <w:pPr>
        <w:ind w:left="3240" w:hanging="360"/>
      </w:pPr>
    </w:lvl>
    <w:lvl w:ilvl="2">
      <w:start w:val="2"/>
      <w:numFmt w:val="decimal"/>
      <w:lvlText w:val="%1.%2.%3."/>
      <w:lvlJc w:val="left"/>
      <w:pPr>
        <w:ind w:left="3960" w:hanging="180"/>
      </w:pPr>
    </w:lvl>
    <w:lvl w:ilvl="3">
      <w:start w:val="1"/>
      <w:numFmt w:val="decimal"/>
      <w:lvlText w:val="%1.%2.%3.%4."/>
      <w:lvlJc w:val="left"/>
      <w:pPr>
        <w:ind w:left="4680" w:hanging="360"/>
      </w:pPr>
    </w:lvl>
    <w:lvl w:ilvl="4">
      <w:start w:val="1"/>
      <w:numFmt w:val="decimal"/>
      <w:lvlText w:val="%1.%2.%3.%4.%5."/>
      <w:lvlJc w:val="left"/>
      <w:pPr>
        <w:ind w:left="5400" w:hanging="360"/>
      </w:pPr>
    </w:lvl>
    <w:lvl w:ilvl="5">
      <w:start w:val="1"/>
      <w:numFmt w:val="decimal"/>
      <w:lvlText w:val="%1.%2.%3.%4.%5.%6."/>
      <w:lvlJc w:val="left"/>
      <w:pPr>
        <w:ind w:left="6120" w:hanging="180"/>
      </w:pPr>
    </w:lvl>
    <w:lvl w:ilvl="6">
      <w:start w:val="1"/>
      <w:numFmt w:val="decimal"/>
      <w:lvlText w:val="%1.%2.%3.%4.%5.%6.%7."/>
      <w:lvlJc w:val="left"/>
      <w:pPr>
        <w:ind w:left="6840" w:hanging="360"/>
      </w:pPr>
    </w:lvl>
    <w:lvl w:ilvl="7">
      <w:start w:val="1"/>
      <w:numFmt w:val="decimal"/>
      <w:lvlText w:val="%1.%2.%3.%4.%5.%6.%7.%8."/>
      <w:lvlJc w:val="left"/>
      <w:pPr>
        <w:ind w:left="7560" w:hanging="360"/>
      </w:pPr>
    </w:lvl>
    <w:lvl w:ilvl="8">
      <w:start w:val="1"/>
      <w:numFmt w:val="decimal"/>
      <w:lvlText w:val="%1.%2.%3.%4.%5.%6.%7.%8.%9."/>
      <w:lvlJc w:val="left"/>
      <w:pPr>
        <w:ind w:left="8280" w:hanging="180"/>
      </w:pPr>
    </w:lvl>
  </w:abstractNum>
  <w:abstractNum w:abstractNumId="2" w15:restartNumberingAfterBreak="0">
    <w:nsid w:val="436EFA50"/>
    <w:multiLevelType w:val="multilevel"/>
    <w:tmpl w:val="FFFFFFFF"/>
    <w:lvl w:ilvl="0">
      <w:start w:val="1"/>
      <w:numFmt w:val="decimal"/>
      <w:lvlText w:val="%1."/>
      <w:lvlJc w:val="left"/>
      <w:pPr>
        <w:ind w:left="2520" w:hanging="360"/>
      </w:pPr>
    </w:lvl>
    <w:lvl w:ilvl="1">
      <w:start w:val="1"/>
      <w:numFmt w:val="decimal"/>
      <w:lvlText w:val="%1.%2."/>
      <w:lvlJc w:val="left"/>
      <w:pPr>
        <w:ind w:left="3240" w:hanging="360"/>
      </w:pPr>
    </w:lvl>
    <w:lvl w:ilvl="2">
      <w:start w:val="1"/>
      <w:numFmt w:val="decimal"/>
      <w:lvlText w:val="%1.%2.%3."/>
      <w:lvlJc w:val="left"/>
      <w:pPr>
        <w:ind w:left="3960" w:hanging="180"/>
      </w:pPr>
    </w:lvl>
    <w:lvl w:ilvl="3">
      <w:start w:val="1"/>
      <w:numFmt w:val="decimal"/>
      <w:lvlText w:val="%1.%2.%3.%4."/>
      <w:lvlJc w:val="left"/>
      <w:pPr>
        <w:ind w:left="4680" w:hanging="360"/>
      </w:pPr>
    </w:lvl>
    <w:lvl w:ilvl="4">
      <w:start w:val="1"/>
      <w:numFmt w:val="decimal"/>
      <w:lvlText w:val="%1.%2.%3.%4.%5."/>
      <w:lvlJc w:val="left"/>
      <w:pPr>
        <w:ind w:left="5400" w:hanging="360"/>
      </w:pPr>
    </w:lvl>
    <w:lvl w:ilvl="5">
      <w:start w:val="1"/>
      <w:numFmt w:val="decimal"/>
      <w:lvlText w:val="%1.%2.%3.%4.%5.%6."/>
      <w:lvlJc w:val="left"/>
      <w:pPr>
        <w:ind w:left="6120" w:hanging="180"/>
      </w:pPr>
    </w:lvl>
    <w:lvl w:ilvl="6">
      <w:start w:val="1"/>
      <w:numFmt w:val="decimal"/>
      <w:lvlText w:val="%1.%2.%3.%4.%5.%6.%7."/>
      <w:lvlJc w:val="left"/>
      <w:pPr>
        <w:ind w:left="6840" w:hanging="360"/>
      </w:pPr>
    </w:lvl>
    <w:lvl w:ilvl="7">
      <w:start w:val="1"/>
      <w:numFmt w:val="decimal"/>
      <w:lvlText w:val="%1.%2.%3.%4.%5.%6.%7.%8."/>
      <w:lvlJc w:val="left"/>
      <w:pPr>
        <w:ind w:left="7560" w:hanging="360"/>
      </w:pPr>
    </w:lvl>
    <w:lvl w:ilvl="8">
      <w:start w:val="1"/>
      <w:numFmt w:val="decimal"/>
      <w:lvlText w:val="%1.%2.%3.%4.%5.%6.%7.%8.%9."/>
      <w:lvlJc w:val="left"/>
      <w:pPr>
        <w:ind w:left="8280" w:hanging="180"/>
      </w:pPr>
    </w:lvl>
  </w:abstractNum>
  <w:abstractNum w:abstractNumId="3" w15:restartNumberingAfterBreak="0">
    <w:nsid w:val="4C5D5F3A"/>
    <w:multiLevelType w:val="multilevel"/>
    <w:tmpl w:val="E26A8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6DFF82"/>
    <w:multiLevelType w:val="multilevel"/>
    <w:tmpl w:val="FFFFFFFF"/>
    <w:lvl w:ilvl="0">
      <w:start w:val="1"/>
      <w:numFmt w:val="decimal"/>
      <w:lvlText w:val="%1."/>
      <w:lvlJc w:val="left"/>
      <w:pPr>
        <w:ind w:left="2520" w:hanging="360"/>
      </w:pPr>
    </w:lvl>
    <w:lvl w:ilvl="1">
      <w:start w:val="1"/>
      <w:numFmt w:val="decimal"/>
      <w:lvlText w:val="%1.%2."/>
      <w:lvlJc w:val="left"/>
      <w:pPr>
        <w:ind w:left="3240" w:hanging="360"/>
      </w:pPr>
    </w:lvl>
    <w:lvl w:ilvl="2">
      <w:start w:val="4"/>
      <w:numFmt w:val="decimal"/>
      <w:lvlText w:val="%1.%2.%3."/>
      <w:lvlJc w:val="left"/>
      <w:pPr>
        <w:ind w:left="3960" w:hanging="180"/>
      </w:pPr>
    </w:lvl>
    <w:lvl w:ilvl="3">
      <w:start w:val="1"/>
      <w:numFmt w:val="decimal"/>
      <w:lvlText w:val="%1.%2.%3.%4."/>
      <w:lvlJc w:val="left"/>
      <w:pPr>
        <w:ind w:left="4680" w:hanging="360"/>
      </w:pPr>
    </w:lvl>
    <w:lvl w:ilvl="4">
      <w:start w:val="1"/>
      <w:numFmt w:val="decimal"/>
      <w:lvlText w:val="%1.%2.%3.%4.%5."/>
      <w:lvlJc w:val="left"/>
      <w:pPr>
        <w:ind w:left="5400" w:hanging="360"/>
      </w:pPr>
    </w:lvl>
    <w:lvl w:ilvl="5">
      <w:start w:val="1"/>
      <w:numFmt w:val="decimal"/>
      <w:lvlText w:val="%1.%2.%3.%4.%5.%6."/>
      <w:lvlJc w:val="left"/>
      <w:pPr>
        <w:ind w:left="6120" w:hanging="180"/>
      </w:pPr>
    </w:lvl>
    <w:lvl w:ilvl="6">
      <w:start w:val="1"/>
      <w:numFmt w:val="decimal"/>
      <w:lvlText w:val="%1.%2.%3.%4.%5.%6.%7."/>
      <w:lvlJc w:val="left"/>
      <w:pPr>
        <w:ind w:left="6840" w:hanging="360"/>
      </w:pPr>
    </w:lvl>
    <w:lvl w:ilvl="7">
      <w:start w:val="1"/>
      <w:numFmt w:val="decimal"/>
      <w:lvlText w:val="%1.%2.%3.%4.%5.%6.%7.%8."/>
      <w:lvlJc w:val="left"/>
      <w:pPr>
        <w:ind w:left="7560" w:hanging="360"/>
      </w:pPr>
    </w:lvl>
    <w:lvl w:ilvl="8">
      <w:start w:val="1"/>
      <w:numFmt w:val="decimal"/>
      <w:lvlText w:val="%1.%2.%3.%4.%5.%6.%7.%8.%9."/>
      <w:lvlJc w:val="left"/>
      <w:pPr>
        <w:ind w:left="8280" w:hanging="180"/>
      </w:pPr>
    </w:lvl>
  </w:abstractNum>
  <w:abstractNum w:abstractNumId="5" w15:restartNumberingAfterBreak="0">
    <w:nsid w:val="64DC1997"/>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703137093">
    <w:abstractNumId w:val="1"/>
  </w:num>
  <w:num w:numId="2" w16cid:durableId="1644773243">
    <w:abstractNumId w:val="4"/>
  </w:num>
  <w:num w:numId="3" w16cid:durableId="1139956012">
    <w:abstractNumId w:val="2"/>
  </w:num>
  <w:num w:numId="4" w16cid:durableId="22479688">
    <w:abstractNumId w:val="0"/>
  </w:num>
  <w:num w:numId="5" w16cid:durableId="846167120">
    <w:abstractNumId w:val="5"/>
  </w:num>
  <w:num w:numId="6" w16cid:durableId="730077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93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2A"/>
    <w:rsid w:val="000871B7"/>
    <w:rsid w:val="000D3015"/>
    <w:rsid w:val="000E4193"/>
    <w:rsid w:val="001548EE"/>
    <w:rsid w:val="0015572C"/>
    <w:rsid w:val="00196447"/>
    <w:rsid w:val="001B7E14"/>
    <w:rsid w:val="001E65AC"/>
    <w:rsid w:val="002305D3"/>
    <w:rsid w:val="00230629"/>
    <w:rsid w:val="00270108"/>
    <w:rsid w:val="002B42C2"/>
    <w:rsid w:val="002B62B7"/>
    <w:rsid w:val="00312153"/>
    <w:rsid w:val="0031573C"/>
    <w:rsid w:val="003166D2"/>
    <w:rsid w:val="003458FA"/>
    <w:rsid w:val="003518C6"/>
    <w:rsid w:val="00392A83"/>
    <w:rsid w:val="003D6B32"/>
    <w:rsid w:val="003E309C"/>
    <w:rsid w:val="003F58BB"/>
    <w:rsid w:val="004244E3"/>
    <w:rsid w:val="00441881"/>
    <w:rsid w:val="00471B9D"/>
    <w:rsid w:val="00482781"/>
    <w:rsid w:val="004B6195"/>
    <w:rsid w:val="004C1091"/>
    <w:rsid w:val="004D0F6C"/>
    <w:rsid w:val="004D1562"/>
    <w:rsid w:val="00526BA7"/>
    <w:rsid w:val="005351AE"/>
    <w:rsid w:val="00542F79"/>
    <w:rsid w:val="005765BB"/>
    <w:rsid w:val="005D711B"/>
    <w:rsid w:val="005F7FF0"/>
    <w:rsid w:val="006169D5"/>
    <w:rsid w:val="00646A09"/>
    <w:rsid w:val="00663684"/>
    <w:rsid w:val="0068181E"/>
    <w:rsid w:val="006D46E7"/>
    <w:rsid w:val="006E0B5C"/>
    <w:rsid w:val="006E2EDA"/>
    <w:rsid w:val="007158F8"/>
    <w:rsid w:val="007343C1"/>
    <w:rsid w:val="00794D2A"/>
    <w:rsid w:val="007A01E8"/>
    <w:rsid w:val="007B49DF"/>
    <w:rsid w:val="007C59E6"/>
    <w:rsid w:val="007C6499"/>
    <w:rsid w:val="007F732F"/>
    <w:rsid w:val="0080596A"/>
    <w:rsid w:val="00841656"/>
    <w:rsid w:val="008424B5"/>
    <w:rsid w:val="00847AC2"/>
    <w:rsid w:val="008523D4"/>
    <w:rsid w:val="00867EF1"/>
    <w:rsid w:val="00883FB9"/>
    <w:rsid w:val="00894995"/>
    <w:rsid w:val="008963AE"/>
    <w:rsid w:val="00912873"/>
    <w:rsid w:val="00924FD6"/>
    <w:rsid w:val="009F2C15"/>
    <w:rsid w:val="00A3383B"/>
    <w:rsid w:val="00A713B8"/>
    <w:rsid w:val="00AF7437"/>
    <w:rsid w:val="00B72F95"/>
    <w:rsid w:val="00BC1C46"/>
    <w:rsid w:val="00BE3546"/>
    <w:rsid w:val="00C051EC"/>
    <w:rsid w:val="00C27D71"/>
    <w:rsid w:val="00C411F0"/>
    <w:rsid w:val="00C63BC3"/>
    <w:rsid w:val="00CA7F77"/>
    <w:rsid w:val="00CE3606"/>
    <w:rsid w:val="00DA6769"/>
    <w:rsid w:val="00E924BB"/>
    <w:rsid w:val="00E93BFB"/>
    <w:rsid w:val="00EC09C6"/>
    <w:rsid w:val="00EC3882"/>
    <w:rsid w:val="00F0069D"/>
    <w:rsid w:val="00F46EB0"/>
    <w:rsid w:val="00F544FC"/>
    <w:rsid w:val="00FA7335"/>
    <w:rsid w:val="0110F32D"/>
    <w:rsid w:val="01FFBEEA"/>
    <w:rsid w:val="0206E5B1"/>
    <w:rsid w:val="020A1892"/>
    <w:rsid w:val="02F4D84F"/>
    <w:rsid w:val="04A08062"/>
    <w:rsid w:val="04C32B28"/>
    <w:rsid w:val="054B3E67"/>
    <w:rsid w:val="05889F16"/>
    <w:rsid w:val="05F45B4D"/>
    <w:rsid w:val="067C731F"/>
    <w:rsid w:val="0779A6B3"/>
    <w:rsid w:val="07ACE52F"/>
    <w:rsid w:val="0809632F"/>
    <w:rsid w:val="08205A69"/>
    <w:rsid w:val="0B8A49DA"/>
    <w:rsid w:val="0C0C0F54"/>
    <w:rsid w:val="0D1EEB8E"/>
    <w:rsid w:val="0DA0E1A2"/>
    <w:rsid w:val="0DB25AB3"/>
    <w:rsid w:val="0EE86F7F"/>
    <w:rsid w:val="13FEEF3A"/>
    <w:rsid w:val="1430455D"/>
    <w:rsid w:val="14D512B3"/>
    <w:rsid w:val="159EB034"/>
    <w:rsid w:val="15E97279"/>
    <w:rsid w:val="18BB5230"/>
    <w:rsid w:val="1A046AE5"/>
    <w:rsid w:val="1A95E11B"/>
    <w:rsid w:val="1BB1D637"/>
    <w:rsid w:val="1BFBA693"/>
    <w:rsid w:val="1CB7A4B0"/>
    <w:rsid w:val="1D749EB7"/>
    <w:rsid w:val="1EAF941B"/>
    <w:rsid w:val="1F270451"/>
    <w:rsid w:val="2071916E"/>
    <w:rsid w:val="2219E326"/>
    <w:rsid w:val="22FD78F7"/>
    <w:rsid w:val="233798DE"/>
    <w:rsid w:val="24909F9A"/>
    <w:rsid w:val="24D6DE50"/>
    <w:rsid w:val="24EF72C3"/>
    <w:rsid w:val="257B3FEB"/>
    <w:rsid w:val="25DFFAD2"/>
    <w:rsid w:val="26D149BB"/>
    <w:rsid w:val="26EF874A"/>
    <w:rsid w:val="2723E574"/>
    <w:rsid w:val="275B791B"/>
    <w:rsid w:val="2781FEFB"/>
    <w:rsid w:val="28638FD9"/>
    <w:rsid w:val="28DEBDF0"/>
    <w:rsid w:val="2A3E0B4F"/>
    <w:rsid w:val="2A62E148"/>
    <w:rsid w:val="2A762749"/>
    <w:rsid w:val="2ACD8803"/>
    <w:rsid w:val="2B3755AD"/>
    <w:rsid w:val="2B477737"/>
    <w:rsid w:val="2B8534EB"/>
    <w:rsid w:val="2D7E5B03"/>
    <w:rsid w:val="2DFD917E"/>
    <w:rsid w:val="2E33D196"/>
    <w:rsid w:val="2E728605"/>
    <w:rsid w:val="2E84027E"/>
    <w:rsid w:val="2E94761D"/>
    <w:rsid w:val="302F0C1D"/>
    <w:rsid w:val="3107BD9E"/>
    <w:rsid w:val="32B0C40E"/>
    <w:rsid w:val="33EC00AD"/>
    <w:rsid w:val="3450DC63"/>
    <w:rsid w:val="345C3C8A"/>
    <w:rsid w:val="351A5939"/>
    <w:rsid w:val="364FADAC"/>
    <w:rsid w:val="36DEA2B7"/>
    <w:rsid w:val="37B0DB7C"/>
    <w:rsid w:val="37BDDAFC"/>
    <w:rsid w:val="39930D1C"/>
    <w:rsid w:val="39F60599"/>
    <w:rsid w:val="3A23E0A6"/>
    <w:rsid w:val="3A749168"/>
    <w:rsid w:val="3A7BD0D8"/>
    <w:rsid w:val="3A9BEC8C"/>
    <w:rsid w:val="3AE5E6BB"/>
    <w:rsid w:val="3B9807C1"/>
    <w:rsid w:val="3C0C9810"/>
    <w:rsid w:val="3C8312B3"/>
    <w:rsid w:val="3CFFC824"/>
    <w:rsid w:val="3EF32B52"/>
    <w:rsid w:val="3F037E9E"/>
    <w:rsid w:val="3F0B0C22"/>
    <w:rsid w:val="3F322EF7"/>
    <w:rsid w:val="3F6ED1EE"/>
    <w:rsid w:val="40471A33"/>
    <w:rsid w:val="40CA3EFD"/>
    <w:rsid w:val="40F3F2C1"/>
    <w:rsid w:val="42BA587F"/>
    <w:rsid w:val="43DA70DE"/>
    <w:rsid w:val="445762B7"/>
    <w:rsid w:val="44B13EEF"/>
    <w:rsid w:val="456E3141"/>
    <w:rsid w:val="4578ED2F"/>
    <w:rsid w:val="46FDC544"/>
    <w:rsid w:val="4786249B"/>
    <w:rsid w:val="4841002D"/>
    <w:rsid w:val="485E8972"/>
    <w:rsid w:val="485FB53B"/>
    <w:rsid w:val="48BEF731"/>
    <w:rsid w:val="498792F1"/>
    <w:rsid w:val="4A162A0B"/>
    <w:rsid w:val="4A479930"/>
    <w:rsid w:val="4B55429F"/>
    <w:rsid w:val="4B7751D9"/>
    <w:rsid w:val="4C5F31AD"/>
    <w:rsid w:val="4C995ACB"/>
    <w:rsid w:val="4D3808D7"/>
    <w:rsid w:val="4D3ADA58"/>
    <w:rsid w:val="4DC1CEA3"/>
    <w:rsid w:val="4F8AEF8A"/>
    <w:rsid w:val="5000C909"/>
    <w:rsid w:val="503AABA6"/>
    <w:rsid w:val="51045348"/>
    <w:rsid w:val="51096BC6"/>
    <w:rsid w:val="526DA30C"/>
    <w:rsid w:val="54067B9E"/>
    <w:rsid w:val="540F7A65"/>
    <w:rsid w:val="5459B986"/>
    <w:rsid w:val="5467B2EF"/>
    <w:rsid w:val="54BFE807"/>
    <w:rsid w:val="54F301DB"/>
    <w:rsid w:val="5576D053"/>
    <w:rsid w:val="57E4EDB7"/>
    <w:rsid w:val="5816D182"/>
    <w:rsid w:val="585771B2"/>
    <w:rsid w:val="587AA2C0"/>
    <w:rsid w:val="58DC5512"/>
    <w:rsid w:val="5929E93B"/>
    <w:rsid w:val="5A984CF5"/>
    <w:rsid w:val="5AE6B2D6"/>
    <w:rsid w:val="5BA57827"/>
    <w:rsid w:val="5CF3BFDA"/>
    <w:rsid w:val="5D1828A7"/>
    <w:rsid w:val="5D1CD6E6"/>
    <w:rsid w:val="5E8C0E69"/>
    <w:rsid w:val="5F6A3FC3"/>
    <w:rsid w:val="602F74D6"/>
    <w:rsid w:val="60DE5427"/>
    <w:rsid w:val="610961D5"/>
    <w:rsid w:val="612F3E25"/>
    <w:rsid w:val="614F3DC3"/>
    <w:rsid w:val="61847A67"/>
    <w:rsid w:val="6195AC69"/>
    <w:rsid w:val="62746542"/>
    <w:rsid w:val="62EADEAC"/>
    <w:rsid w:val="63784238"/>
    <w:rsid w:val="64C106B7"/>
    <w:rsid w:val="65754574"/>
    <w:rsid w:val="659CAC1D"/>
    <w:rsid w:val="670F77C8"/>
    <w:rsid w:val="677BD054"/>
    <w:rsid w:val="67A5607E"/>
    <w:rsid w:val="67B976DD"/>
    <w:rsid w:val="6809A8D0"/>
    <w:rsid w:val="68E53348"/>
    <w:rsid w:val="6995BC49"/>
    <w:rsid w:val="6A3DCD70"/>
    <w:rsid w:val="6AEAABF5"/>
    <w:rsid w:val="6B760B91"/>
    <w:rsid w:val="6B7FBEB0"/>
    <w:rsid w:val="6C2197D3"/>
    <w:rsid w:val="6C5232CA"/>
    <w:rsid w:val="6CAD0D8F"/>
    <w:rsid w:val="6D3906A3"/>
    <w:rsid w:val="6E271669"/>
    <w:rsid w:val="6E64EB52"/>
    <w:rsid w:val="6ED2280F"/>
    <w:rsid w:val="6EE56782"/>
    <w:rsid w:val="6EF941A3"/>
    <w:rsid w:val="70CA68DC"/>
    <w:rsid w:val="717A5D7B"/>
    <w:rsid w:val="71E6CD14"/>
    <w:rsid w:val="7221708E"/>
    <w:rsid w:val="73A91FD6"/>
    <w:rsid w:val="73D178AC"/>
    <w:rsid w:val="7496007F"/>
    <w:rsid w:val="74F4FA6B"/>
    <w:rsid w:val="7525E50E"/>
    <w:rsid w:val="755CC4AB"/>
    <w:rsid w:val="7566A928"/>
    <w:rsid w:val="75C9E92E"/>
    <w:rsid w:val="75F2A3C4"/>
    <w:rsid w:val="76140226"/>
    <w:rsid w:val="76C77576"/>
    <w:rsid w:val="76FC87DD"/>
    <w:rsid w:val="78FDB23F"/>
    <w:rsid w:val="7A2E9AAC"/>
    <w:rsid w:val="7A6BEF09"/>
    <w:rsid w:val="7BC77358"/>
    <w:rsid w:val="7BC96943"/>
    <w:rsid w:val="7CB2DCBE"/>
    <w:rsid w:val="7CB9BB40"/>
    <w:rsid w:val="7D155DAF"/>
    <w:rsid w:val="7D2BC57F"/>
    <w:rsid w:val="7D8E853E"/>
    <w:rsid w:val="7EC6079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1C9F"/>
  <w15:chartTrackingRefBased/>
  <w15:docId w15:val="{E3BF4965-AB79-4E85-8B59-E8532CB3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2A"/>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2A"/>
    <w:pPr>
      <w:ind w:left="720"/>
      <w:contextualSpacing/>
    </w:pPr>
  </w:style>
  <w:style w:type="table" w:styleId="TableGrid">
    <w:name w:val="Table Grid"/>
    <w:basedOn w:val="TableNormal"/>
    <w:uiPriority w:val="39"/>
    <w:rsid w:val="0079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D2A"/>
    <w:rPr>
      <w:color w:val="0000FF"/>
      <w:u w:val="single"/>
    </w:rPr>
  </w:style>
  <w:style w:type="character" w:customStyle="1" w:styleId="cf01">
    <w:name w:val="cf01"/>
    <w:basedOn w:val="DefaultParagraphFont"/>
    <w:rsid w:val="00794D2A"/>
    <w:rPr>
      <w:rFonts w:ascii="Segoe UI" w:hAnsi="Segoe UI" w:cs="Segoe UI" w:hint="default"/>
    </w:rPr>
  </w:style>
  <w:style w:type="character" w:styleId="CommentReference">
    <w:name w:val="annotation reference"/>
    <w:basedOn w:val="DefaultParagraphFont"/>
    <w:uiPriority w:val="99"/>
    <w:semiHidden/>
    <w:unhideWhenUsed/>
    <w:rsid w:val="00FA7335"/>
    <w:rPr>
      <w:sz w:val="16"/>
      <w:szCs w:val="16"/>
    </w:rPr>
  </w:style>
  <w:style w:type="paragraph" w:styleId="CommentText">
    <w:name w:val="annotation text"/>
    <w:basedOn w:val="Normal"/>
    <w:link w:val="CommentTextChar"/>
    <w:uiPriority w:val="99"/>
    <w:unhideWhenUsed/>
    <w:rsid w:val="00FA7335"/>
    <w:rPr>
      <w:sz w:val="20"/>
      <w:szCs w:val="20"/>
    </w:rPr>
  </w:style>
  <w:style w:type="character" w:customStyle="1" w:styleId="CommentTextChar">
    <w:name w:val="Comment Text Char"/>
    <w:basedOn w:val="DefaultParagraphFont"/>
    <w:link w:val="CommentText"/>
    <w:uiPriority w:val="99"/>
    <w:rsid w:val="00FA733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335"/>
    <w:rPr>
      <w:b/>
      <w:bCs/>
    </w:rPr>
  </w:style>
  <w:style w:type="character" w:customStyle="1" w:styleId="CommentSubjectChar">
    <w:name w:val="Comment Subject Char"/>
    <w:basedOn w:val="CommentTextChar"/>
    <w:link w:val="CommentSubject"/>
    <w:uiPriority w:val="99"/>
    <w:semiHidden/>
    <w:rsid w:val="00FA7335"/>
    <w:rPr>
      <w:rFonts w:ascii="Times New Roman" w:hAnsi="Times New Roman" w:cs="Times New Roman"/>
      <w:b/>
      <w:bCs/>
      <w:sz w:val="20"/>
      <w:szCs w:val="20"/>
    </w:rPr>
  </w:style>
  <w:style w:type="paragraph" w:styleId="Revision">
    <w:name w:val="Revision"/>
    <w:hidden/>
    <w:uiPriority w:val="99"/>
    <w:semiHidden/>
    <w:rsid w:val="00AF7437"/>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46A09"/>
    <w:rPr>
      <w:color w:val="605E5C"/>
      <w:shd w:val="clear" w:color="auto" w:fill="E1DFDD"/>
    </w:rPr>
  </w:style>
  <w:style w:type="paragraph" w:styleId="Header">
    <w:name w:val="header"/>
    <w:basedOn w:val="Normal"/>
    <w:link w:val="HeaderChar"/>
    <w:uiPriority w:val="99"/>
    <w:unhideWhenUsed/>
    <w:rsid w:val="00867EF1"/>
    <w:pPr>
      <w:tabs>
        <w:tab w:val="center" w:pos="4153"/>
        <w:tab w:val="right" w:pos="8306"/>
      </w:tabs>
    </w:pPr>
  </w:style>
  <w:style w:type="character" w:customStyle="1" w:styleId="HeaderChar">
    <w:name w:val="Header Char"/>
    <w:basedOn w:val="DefaultParagraphFont"/>
    <w:link w:val="Header"/>
    <w:uiPriority w:val="99"/>
    <w:rsid w:val="00867EF1"/>
    <w:rPr>
      <w:rFonts w:ascii="Times New Roman" w:hAnsi="Times New Roman" w:cs="Times New Roman"/>
      <w:sz w:val="24"/>
      <w:szCs w:val="24"/>
    </w:rPr>
  </w:style>
  <w:style w:type="paragraph" w:styleId="Footer">
    <w:name w:val="footer"/>
    <w:basedOn w:val="Normal"/>
    <w:link w:val="FooterChar"/>
    <w:uiPriority w:val="99"/>
    <w:unhideWhenUsed/>
    <w:rsid w:val="00867EF1"/>
    <w:pPr>
      <w:tabs>
        <w:tab w:val="center" w:pos="4153"/>
        <w:tab w:val="right" w:pos="8306"/>
      </w:tabs>
    </w:pPr>
  </w:style>
  <w:style w:type="character" w:customStyle="1" w:styleId="FooterChar">
    <w:name w:val="Footer Char"/>
    <w:basedOn w:val="DefaultParagraphFont"/>
    <w:link w:val="Footer"/>
    <w:uiPriority w:val="99"/>
    <w:rsid w:val="00867E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01204">
      <w:bodyDiv w:val="1"/>
      <w:marLeft w:val="0"/>
      <w:marRight w:val="0"/>
      <w:marTop w:val="0"/>
      <w:marBottom w:val="0"/>
      <w:divBdr>
        <w:top w:val="none" w:sz="0" w:space="0" w:color="auto"/>
        <w:left w:val="none" w:sz="0" w:space="0" w:color="auto"/>
        <w:bottom w:val="none" w:sz="0" w:space="0" w:color="auto"/>
        <w:right w:val="none" w:sz="0" w:space="0" w:color="auto"/>
      </w:divBdr>
    </w:div>
    <w:div w:id="1053773000">
      <w:bodyDiv w:val="1"/>
      <w:marLeft w:val="0"/>
      <w:marRight w:val="0"/>
      <w:marTop w:val="0"/>
      <w:marBottom w:val="0"/>
      <w:divBdr>
        <w:top w:val="none" w:sz="0" w:space="0" w:color="auto"/>
        <w:left w:val="none" w:sz="0" w:space="0" w:color="auto"/>
        <w:bottom w:val="none" w:sz="0" w:space="0" w:color="auto"/>
        <w:right w:val="none" w:sz="0" w:space="0" w:color="auto"/>
      </w:divBdr>
    </w:div>
    <w:div w:id="12892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nvd.gov.lv/lv/sekundaro-ambulatoro-veselibas-aprupes-pakalpojumu-liguma-paraugs-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mnv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nvd.gov.lv/lv/sekundaro-ambulatoro-veselibas-aprupes-pakalpojumu-liguma-paraugs-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vmnvd.gov.l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21636-1722-4E1C-9CE3-C0C7FA7FD86D}">
  <ds:schemaRefs>
    <ds:schemaRef ds:uri="http://schemas.microsoft.com/office/2006/metadata/properties"/>
    <ds:schemaRef ds:uri="http://schemas.microsoft.com/office/infopath/2007/PartnerControls"/>
    <ds:schemaRef ds:uri="3c89bccc-4e81-46ed-be94-ebf6ca004418"/>
  </ds:schemaRefs>
</ds:datastoreItem>
</file>

<file path=customXml/itemProps2.xml><?xml version="1.0" encoding="utf-8"?>
<ds:datastoreItem xmlns:ds="http://schemas.openxmlformats.org/officeDocument/2006/customXml" ds:itemID="{C9E91FC1-3ECB-4989-A5B3-9666FBC2B0F2}">
  <ds:schemaRefs>
    <ds:schemaRef ds:uri="http://schemas.microsoft.com/sharepoint/v3/contenttype/forms"/>
  </ds:schemaRefs>
</ds:datastoreItem>
</file>

<file path=customXml/itemProps3.xml><?xml version="1.0" encoding="utf-8"?>
<ds:datastoreItem xmlns:ds="http://schemas.openxmlformats.org/officeDocument/2006/customXml" ds:itemID="{B9535C87-36ED-4E58-A705-C104B319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6021</Words>
  <Characters>3432</Characters>
  <Application>Microsoft Office Word</Application>
  <DocSecurity>0</DocSecurity>
  <Lines>28</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Lihovecka</dc:creator>
  <cp:keywords/>
  <dc:description/>
  <cp:lastModifiedBy>Anna Ziemele</cp:lastModifiedBy>
  <cp:revision>4</cp:revision>
  <dcterms:created xsi:type="dcterms:W3CDTF">2024-11-29T07:42:00Z</dcterms:created>
  <dcterms:modified xsi:type="dcterms:W3CDTF">2025-02-06T09:17:00Z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ies>
</file>