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A518E35" w:rsidR="002C35F4" w:rsidRDefault="00BA48D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</w:t>
      </w:r>
      <w:r w:rsidR="00550820">
        <w:rPr>
          <w:b/>
          <w:bCs/>
        </w:rPr>
        <w:t>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>
        <w:rPr>
          <w:b/>
          <w:bCs/>
        </w:rPr>
        <w:t>(</w:t>
      </w:r>
      <w:r w:rsidR="002F5E0E">
        <w:rPr>
          <w:b/>
          <w:bCs/>
        </w:rPr>
        <w:t>3</w:t>
      </w:r>
      <w:r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7CE4F84" w14:textId="448881FA" w:rsidR="00571C9D" w:rsidRDefault="002F5E0E" w:rsidP="000A56FF">
      <w:pPr>
        <w:spacing w:after="0" w:line="240" w:lineRule="auto"/>
        <w:rPr>
          <w:rFonts w:cstheme="minorHAnsi"/>
        </w:rPr>
      </w:pPr>
      <w:r w:rsidRPr="002F5E0E">
        <w:rPr>
          <w:rFonts w:cstheme="minorHAnsi"/>
        </w:rPr>
        <w:t>Par informatīvu apziņošanu ārstniecības personām</w:t>
      </w:r>
    </w:p>
    <w:p w14:paraId="47B7D516" w14:textId="77777777" w:rsidR="002F5E0E" w:rsidRDefault="002F5E0E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D845BA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Ņemot vērā, ka no 01.01.2025. stājas spēkā Ministru kabineta noteikumi Nr.803 “</w:t>
      </w:r>
      <w:r w:rsidRPr="002F5E0E">
        <w:rPr>
          <w:rFonts w:cstheme="minorHAnsi"/>
          <w:b/>
          <w:bCs/>
        </w:rPr>
        <w:t>Noteikumi par zāļu cenu veidošanas principiem’  </w:t>
      </w:r>
      <w:r w:rsidRPr="002F5E0E">
        <w:rPr>
          <w:rFonts w:cstheme="minorHAnsi"/>
        </w:rPr>
        <w:t>un 17.5 punkta prasības nosaka, ka  papildus zāļu cenai aptieka iekasē maksu par farmaceita pakalpojumu, </w:t>
      </w:r>
      <w:r w:rsidRPr="002F5E0E">
        <w:rPr>
          <w:rFonts w:cstheme="minorHAnsi"/>
          <w:b/>
          <w:bCs/>
          <w:u w:val="single"/>
        </w:rPr>
        <w:t>pirmreizēji</w:t>
      </w:r>
      <w:r w:rsidRPr="002F5E0E">
        <w:rPr>
          <w:rFonts w:cstheme="minorHAnsi"/>
          <w:b/>
          <w:bCs/>
        </w:rPr>
        <w:t> </w:t>
      </w:r>
      <w:proofErr w:type="spellStart"/>
      <w:r w:rsidRPr="002F5E0E">
        <w:rPr>
          <w:rFonts w:cstheme="minorHAnsi"/>
        </w:rPr>
        <w:t>atprečojot</w:t>
      </w:r>
      <w:proofErr w:type="spellEnd"/>
      <w:r w:rsidRPr="002F5E0E">
        <w:rPr>
          <w:rFonts w:cstheme="minorHAnsi"/>
        </w:rPr>
        <w:t xml:space="preserve"> recepti un izsniedzot zāles, lūgums jau tagad ārstniecības personām izrakstīt receptes </w:t>
      </w:r>
      <w:r w:rsidRPr="002F5E0E">
        <w:rPr>
          <w:rFonts w:cstheme="minorHAnsi"/>
          <w:b/>
          <w:bCs/>
        </w:rPr>
        <w:t xml:space="preserve">tikai elektroniski. </w:t>
      </w:r>
      <w:r w:rsidRPr="002F5E0E">
        <w:rPr>
          <w:rFonts w:cstheme="minorHAnsi"/>
        </w:rPr>
        <w:t>Atgādinām, ka uz noteikta parauga recepšu veidlapas izraksta, ja:</w:t>
      </w:r>
    </w:p>
    <w:p w14:paraId="52F7B2F5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29.2.1. tiek izrakstītas individuāli kompensējamās zāles atbilstoši noteiktajai kompensācijas kārtībai;</w:t>
      </w:r>
    </w:p>
    <w:p w14:paraId="0399384D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29.2.2. pacients ir informējis, ka recepti izmantos Eiropas Savienības dalībvalstī, kādā Eiropas Ekonomikas zonas valstī vai Šveices Konfederācijā, ar kuru nav nodrošināta Latvijā izsniegto e-recepšu pārrobežu apmaiņa;</w:t>
      </w:r>
    </w:p>
    <w:p w14:paraId="2811868A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29.2.3. recepte tiek izrakstīta personai, kura nav reģistrēta Fizisko personu reģistrā;</w:t>
      </w:r>
    </w:p>
    <w:p w14:paraId="4363282F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29.2.4. ārsts vai ārsta palīgs (feldšeris), kas nestrādā ārstniecības iestādē, izraksta zāles personīgai lietošanai;</w:t>
      </w:r>
    </w:p>
    <w:p w14:paraId="4E097AED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>29.2.5. zāles vai medicīniskās ierīces pacientam nepieciešamas nekavējoties un receptes izrakstīšana veselības informācijas sistēmā nav iespējama tehnisku iemeslu dēļ.</w:t>
      </w:r>
    </w:p>
    <w:p w14:paraId="5CBDA67F" w14:textId="77777777" w:rsidR="002F5E0E" w:rsidRPr="002F5E0E" w:rsidRDefault="002F5E0E" w:rsidP="002F5E0E">
      <w:pPr>
        <w:jc w:val="both"/>
        <w:rPr>
          <w:rFonts w:cstheme="minorHAnsi"/>
        </w:rPr>
      </w:pPr>
    </w:p>
    <w:p w14:paraId="72A92C27" w14:textId="77777777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t xml:space="preserve">Pielikumā pievienojam atjaunotās instrukcijas, </w:t>
      </w:r>
      <w:r w:rsidRPr="002F5E0E">
        <w:rPr>
          <w:rFonts w:cstheme="minorHAnsi"/>
          <w:u w:val="single"/>
        </w:rPr>
        <w:t>lūgums pievērst īpašu uzmanību</w:t>
      </w:r>
      <w:r w:rsidRPr="002F5E0E">
        <w:rPr>
          <w:rFonts w:cstheme="minorHAnsi"/>
        </w:rPr>
        <w:t xml:space="preserve">, ka tiek izrakstītas elektroniski receptes </w:t>
      </w:r>
      <w:r w:rsidRPr="002F5E0E">
        <w:rPr>
          <w:rFonts w:cstheme="minorHAnsi"/>
          <w:b/>
          <w:bCs/>
        </w:rPr>
        <w:t>jaundzimušajiem</w:t>
      </w:r>
      <w:r w:rsidRPr="002F5E0E">
        <w:rPr>
          <w:rFonts w:cstheme="minorHAnsi"/>
        </w:rPr>
        <w:t>, obligāti jāaizpilda arī Ārstniecības līdzekļu saņēmēji aptiekā.</w:t>
      </w:r>
    </w:p>
    <w:p w14:paraId="5F0FC216" w14:textId="5FCB640A" w:rsidR="002F5E0E" w:rsidRPr="002F5E0E" w:rsidRDefault="002F5E0E" w:rsidP="002F5E0E">
      <w:pPr>
        <w:jc w:val="both"/>
        <w:rPr>
          <w:rFonts w:cstheme="minorHAnsi"/>
        </w:rPr>
      </w:pPr>
      <w:r w:rsidRPr="002F5E0E">
        <w:rPr>
          <w:rFonts w:cstheme="minorHAnsi"/>
        </w:rPr>
        <w:drawing>
          <wp:inline distT="0" distB="0" distL="0" distR="0" wp14:anchorId="44E838CF" wp14:editId="216CA38F">
            <wp:extent cx="5274310" cy="1315085"/>
            <wp:effectExtent l="0" t="0" r="2540" b="18415"/>
            <wp:docPr id="5286742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F233" w14:textId="65C12BC5" w:rsidR="00C73D74" w:rsidRPr="00571C9D" w:rsidRDefault="002F5E0E" w:rsidP="000E24B0">
      <w:pPr>
        <w:jc w:val="both"/>
        <w:rPr>
          <w:rFonts w:cstheme="minorHAnsi"/>
        </w:rPr>
      </w:pPr>
      <w:r>
        <w:object w:dxaOrig="1520" w:dyaOrig="985" w14:anchorId="061F1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76.2pt;height:49.2pt" o:ole="">
            <v:imagedata r:id="rId10" o:title=""/>
          </v:shape>
          <o:OLEObject Type="Embed" ProgID="AcroExch.Document.DC" ShapeID="_x0000_i1059" DrawAspect="Icon" ObjectID="_1797418805" r:id="rId11"/>
        </w:object>
      </w:r>
      <w:r>
        <w:object w:dxaOrig="1520" w:dyaOrig="985" w14:anchorId="7259B690">
          <v:shape id="_x0000_i1058" type="#_x0000_t75" style="width:76.2pt;height:49.2pt" o:ole="">
            <v:imagedata r:id="rId12" o:title=""/>
          </v:shape>
          <o:OLEObject Type="Embed" ProgID="AcroExch.Document.DC" ShapeID="_x0000_i1058" DrawAspect="Icon" ObjectID="_1797418806" r:id="rId13"/>
        </w:object>
      </w:r>
      <w:r>
        <w:object w:dxaOrig="1520" w:dyaOrig="985" w14:anchorId="76BDADCB">
          <v:shape id="_x0000_i1057" type="#_x0000_t75" style="width:76.2pt;height:49.2pt" o:ole="">
            <v:imagedata r:id="rId14" o:title=""/>
          </v:shape>
          <o:OLEObject Type="Embed" ProgID="AcroExch.Document.DC" ShapeID="_x0000_i1057" DrawAspect="Icon" ObjectID="_1797418807" r:id="rId15"/>
        </w:object>
      </w: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A48D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cid:image002.png@01DB5870.AF5DE7B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2025-01-03T12:14:00Z</dcterms:created>
  <dcterms:modified xsi:type="dcterms:W3CDTF">2025-01-03T12:14:00Z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