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0EE5B56C" w:rsidR="002C35F4" w:rsidRDefault="00BA48D3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B133EE">
        <w:rPr>
          <w:b/>
          <w:bCs/>
        </w:rPr>
        <w:t>8</w:t>
      </w:r>
      <w:r w:rsidR="00550820">
        <w:rPr>
          <w:b/>
          <w:bCs/>
        </w:rPr>
        <w:t>.12</w:t>
      </w:r>
      <w:r w:rsidR="00335C8D">
        <w:rPr>
          <w:b/>
          <w:bCs/>
        </w:rPr>
        <w:t>.202</w:t>
      </w:r>
      <w:r w:rsidR="00E20FF8">
        <w:rPr>
          <w:b/>
          <w:bCs/>
        </w:rPr>
        <w:t>4</w:t>
      </w:r>
      <w:r w:rsidR="007B77BE">
        <w:rPr>
          <w:b/>
          <w:bCs/>
        </w:rPr>
        <w:t>(</w:t>
      </w:r>
      <w:r w:rsidR="00C159CF">
        <w:rPr>
          <w:b/>
          <w:bCs/>
        </w:rPr>
        <w:t>2</w:t>
      </w:r>
      <w:r w:rsidR="007B77BE">
        <w:rPr>
          <w:b/>
          <w:bCs/>
        </w:rPr>
        <w:t>)</w:t>
      </w:r>
      <w:r w:rsidR="0032507A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2CC4DAB6" w14:textId="0CD1CF85" w:rsidR="00C159CF" w:rsidRDefault="00EA1E9B" w:rsidP="000A56FF">
      <w:pPr>
        <w:spacing w:after="0" w:line="240" w:lineRule="auto"/>
        <w:rPr>
          <w:rFonts w:cstheme="minorHAnsi"/>
        </w:rPr>
      </w:pPr>
      <w:r w:rsidRPr="00EA1E9B">
        <w:rPr>
          <w:rFonts w:cstheme="minorHAnsi"/>
        </w:rPr>
        <w:t>Aptieku apziņošana</w:t>
      </w:r>
    </w:p>
    <w:p w14:paraId="34778D0F" w14:textId="77777777" w:rsidR="00EA1E9B" w:rsidRDefault="00EA1E9B" w:rsidP="000A56FF">
      <w:pPr>
        <w:spacing w:after="0" w:line="240" w:lineRule="auto"/>
        <w:rPr>
          <w:rFonts w:ascii="Calibri" w:hAnsi="Calibri" w:cs="Calibri"/>
          <w:b/>
          <w:bCs/>
        </w:rPr>
      </w:pPr>
    </w:p>
    <w:p w14:paraId="297F2F6B" w14:textId="77506E2D" w:rsidR="000A56FF" w:rsidRDefault="00CF744E" w:rsidP="000A56FF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FD9314C" w14:textId="77777777" w:rsidR="00EA1E9B" w:rsidRPr="00EA1E9B" w:rsidRDefault="00EA1E9B" w:rsidP="00EA1E9B">
      <w:pPr>
        <w:jc w:val="both"/>
        <w:rPr>
          <w:rFonts w:cstheme="minorHAnsi"/>
        </w:rPr>
      </w:pPr>
      <w:r w:rsidRPr="00EA1E9B">
        <w:rPr>
          <w:rFonts w:cstheme="minorHAnsi"/>
        </w:rPr>
        <w:t>Ņemot vērā, ka no 01.01.2025. stājas spēkā Ministru kabineta noteikumi Nr.803 “</w:t>
      </w:r>
      <w:r w:rsidRPr="00EA1E9B">
        <w:rPr>
          <w:rFonts w:cstheme="minorHAnsi"/>
          <w:b/>
          <w:bCs/>
        </w:rPr>
        <w:t>Noteikumi par zāļu cenu veidošanas principiem’  </w:t>
      </w:r>
      <w:r w:rsidRPr="00EA1E9B">
        <w:rPr>
          <w:rFonts w:cstheme="minorHAnsi"/>
        </w:rPr>
        <w:t>un 17.5 punkta prasības nosaka, ka  papildus zāļu cenai aptieka iekasē maksu par farmaceita pakalpojumu, atjaunojām arī apmācību instrukcijas, kuras nosūtam pielikumā. Tās būs nopublicētas arī E-veselībā.</w:t>
      </w:r>
    </w:p>
    <w:p w14:paraId="0A450103" w14:textId="77777777" w:rsidR="00EA1E9B" w:rsidRPr="00EA1E9B" w:rsidRDefault="00EA1E9B" w:rsidP="00EA1E9B">
      <w:pPr>
        <w:jc w:val="both"/>
        <w:rPr>
          <w:rFonts w:cstheme="minorHAnsi"/>
        </w:rPr>
      </w:pPr>
      <w:r w:rsidRPr="00EA1E9B">
        <w:rPr>
          <w:rFonts w:cstheme="minorHAnsi"/>
          <w:b/>
          <w:bCs/>
        </w:rPr>
        <w:t>Būtiskākie jauninājumi</w:t>
      </w:r>
      <w:r w:rsidRPr="00EA1E9B">
        <w:rPr>
          <w:rFonts w:cstheme="minorHAnsi"/>
        </w:rPr>
        <w:t xml:space="preserve">, kas jāņem vērā no 01.01.2025., </w:t>
      </w:r>
      <w:proofErr w:type="spellStart"/>
      <w:r w:rsidRPr="00EA1E9B">
        <w:rPr>
          <w:rFonts w:cstheme="minorHAnsi"/>
        </w:rPr>
        <w:t>atprečojot</w:t>
      </w:r>
      <w:proofErr w:type="spellEnd"/>
      <w:r w:rsidRPr="00EA1E9B">
        <w:rPr>
          <w:rFonts w:cstheme="minorHAnsi"/>
        </w:rPr>
        <w:t xml:space="preserve"> receptes:</w:t>
      </w:r>
    </w:p>
    <w:p w14:paraId="14447FBF" w14:textId="77777777" w:rsidR="00EA1E9B" w:rsidRPr="00EA1E9B" w:rsidRDefault="00EA1E9B" w:rsidP="00EA1E9B">
      <w:pPr>
        <w:numPr>
          <w:ilvl w:val="0"/>
          <w:numId w:val="32"/>
        </w:numPr>
        <w:jc w:val="both"/>
        <w:rPr>
          <w:rFonts w:cstheme="minorHAnsi"/>
        </w:rPr>
      </w:pPr>
      <w:r w:rsidRPr="00EA1E9B">
        <w:rPr>
          <w:rFonts w:cstheme="minorHAnsi"/>
        </w:rPr>
        <w:t xml:space="preserve">Papīra recepte tiek </w:t>
      </w:r>
      <w:proofErr w:type="spellStart"/>
      <w:r w:rsidRPr="00EA1E9B">
        <w:rPr>
          <w:rFonts w:cstheme="minorHAnsi"/>
        </w:rPr>
        <w:t>atprečota</w:t>
      </w:r>
      <w:proofErr w:type="spellEnd"/>
      <w:r w:rsidRPr="00EA1E9B">
        <w:rPr>
          <w:rFonts w:cstheme="minorHAnsi"/>
        </w:rPr>
        <w:t xml:space="preserve"> </w:t>
      </w:r>
      <w:r w:rsidRPr="00EA1E9B">
        <w:rPr>
          <w:rFonts w:cstheme="minorHAnsi"/>
          <w:b/>
          <w:bCs/>
          <w:u w:val="single"/>
        </w:rPr>
        <w:t>vienreiz</w:t>
      </w:r>
      <w:r w:rsidRPr="00EA1E9B">
        <w:rPr>
          <w:rFonts w:cstheme="minorHAnsi"/>
        </w:rPr>
        <w:t>, tiek piemērota FP maksa.</w:t>
      </w:r>
    </w:p>
    <w:p w14:paraId="22E589F2" w14:textId="77777777" w:rsidR="00EA1E9B" w:rsidRPr="00EA1E9B" w:rsidRDefault="00EA1E9B" w:rsidP="00EA1E9B">
      <w:pPr>
        <w:numPr>
          <w:ilvl w:val="0"/>
          <w:numId w:val="32"/>
        </w:numPr>
        <w:jc w:val="both"/>
        <w:rPr>
          <w:rFonts w:cstheme="minorHAnsi"/>
        </w:rPr>
      </w:pPr>
      <w:r w:rsidRPr="00EA1E9B">
        <w:rPr>
          <w:rFonts w:cstheme="minorHAnsi"/>
        </w:rPr>
        <w:t xml:space="preserve">E-veselības sistēmā </w:t>
      </w:r>
      <w:r w:rsidRPr="00EA1E9B">
        <w:rPr>
          <w:rFonts w:cstheme="minorHAnsi"/>
          <w:b/>
          <w:bCs/>
        </w:rPr>
        <w:t>ir iespējams</w:t>
      </w:r>
      <w:r w:rsidRPr="00EA1E9B">
        <w:rPr>
          <w:rFonts w:cstheme="minorHAnsi"/>
        </w:rPr>
        <w:t xml:space="preserve"> </w:t>
      </w:r>
      <w:proofErr w:type="spellStart"/>
      <w:r w:rsidRPr="00EA1E9B">
        <w:rPr>
          <w:rFonts w:cstheme="minorHAnsi"/>
        </w:rPr>
        <w:t>atprečot</w:t>
      </w:r>
      <w:proofErr w:type="spellEnd"/>
      <w:r w:rsidRPr="00EA1E9B">
        <w:rPr>
          <w:rFonts w:cstheme="minorHAnsi"/>
        </w:rPr>
        <w:t xml:space="preserve"> </w:t>
      </w:r>
      <w:r w:rsidRPr="00EA1E9B">
        <w:rPr>
          <w:rFonts w:cstheme="minorHAnsi"/>
          <w:b/>
          <w:bCs/>
        </w:rPr>
        <w:t>elektroniski izrakstītās</w:t>
      </w:r>
      <w:r w:rsidRPr="00EA1E9B">
        <w:rPr>
          <w:rFonts w:cstheme="minorHAnsi"/>
        </w:rPr>
        <w:t xml:space="preserve"> </w:t>
      </w:r>
      <w:r w:rsidRPr="00EA1E9B">
        <w:rPr>
          <w:rFonts w:cstheme="minorHAnsi"/>
          <w:b/>
          <w:bCs/>
        </w:rPr>
        <w:t>receptes jaundzimušajam un ārzemniekam</w:t>
      </w:r>
      <w:r w:rsidRPr="00EA1E9B">
        <w:rPr>
          <w:rFonts w:cstheme="minorHAnsi"/>
        </w:rPr>
        <w:t xml:space="preserve">, līdz ar to, ja integratora sistēma to nenodrošina, </w:t>
      </w:r>
      <w:r w:rsidRPr="00EA1E9B">
        <w:rPr>
          <w:rFonts w:cstheme="minorHAnsi"/>
          <w:b/>
          <w:bCs/>
        </w:rPr>
        <w:t>farmaceitam jāpieslēdzas</w:t>
      </w:r>
      <w:r w:rsidRPr="00EA1E9B">
        <w:rPr>
          <w:rFonts w:cstheme="minorHAnsi"/>
        </w:rPr>
        <w:t xml:space="preserve"> E-veselības sistēmai un jāveic šo recepšu </w:t>
      </w:r>
      <w:proofErr w:type="spellStart"/>
      <w:r w:rsidRPr="00EA1E9B">
        <w:rPr>
          <w:rFonts w:cstheme="minorHAnsi"/>
        </w:rPr>
        <w:t>atprečošana</w:t>
      </w:r>
      <w:proofErr w:type="spellEnd"/>
      <w:r w:rsidRPr="00EA1E9B">
        <w:rPr>
          <w:rFonts w:cstheme="minorHAnsi"/>
        </w:rPr>
        <w:t xml:space="preserve"> E-veselības sistēmā.</w:t>
      </w:r>
    </w:p>
    <w:p w14:paraId="5AE9CE4C" w14:textId="77777777" w:rsidR="00EA1E9B" w:rsidRPr="00EA1E9B" w:rsidRDefault="00EA1E9B" w:rsidP="00EA1E9B">
      <w:pPr>
        <w:numPr>
          <w:ilvl w:val="0"/>
          <w:numId w:val="32"/>
        </w:numPr>
        <w:jc w:val="both"/>
        <w:rPr>
          <w:rFonts w:cstheme="minorHAnsi"/>
        </w:rPr>
      </w:pPr>
      <w:r w:rsidRPr="00EA1E9B">
        <w:rPr>
          <w:rFonts w:cstheme="minorHAnsi"/>
        </w:rPr>
        <w:t xml:space="preserve">E-veselības sistēmā </w:t>
      </w:r>
      <w:r w:rsidRPr="00EA1E9B">
        <w:rPr>
          <w:rFonts w:cstheme="minorHAnsi"/>
          <w:b/>
          <w:bCs/>
        </w:rPr>
        <w:t>ir iespējams</w:t>
      </w:r>
      <w:r w:rsidRPr="00EA1E9B">
        <w:rPr>
          <w:rFonts w:cstheme="minorHAnsi"/>
        </w:rPr>
        <w:t xml:space="preserve"> elektronizēt </w:t>
      </w:r>
      <w:r w:rsidRPr="00EA1E9B">
        <w:rPr>
          <w:rFonts w:cstheme="minorHAnsi"/>
          <w:b/>
          <w:bCs/>
        </w:rPr>
        <w:t>papīra</w:t>
      </w:r>
      <w:r w:rsidRPr="00EA1E9B">
        <w:rPr>
          <w:rFonts w:cstheme="minorHAnsi"/>
        </w:rPr>
        <w:t xml:space="preserve"> </w:t>
      </w:r>
      <w:r w:rsidRPr="00EA1E9B">
        <w:rPr>
          <w:rFonts w:cstheme="minorHAnsi"/>
          <w:b/>
          <w:bCs/>
        </w:rPr>
        <w:t>receptes (parastās un īpašās recepšu medikamentu) jaundzimušajam un ārzemniekam</w:t>
      </w:r>
      <w:r w:rsidRPr="00EA1E9B">
        <w:rPr>
          <w:rFonts w:cstheme="minorHAnsi"/>
        </w:rPr>
        <w:t xml:space="preserve">, līdz ar to, ja integratora sistēma to nenodrošina, </w:t>
      </w:r>
      <w:r w:rsidRPr="00EA1E9B">
        <w:rPr>
          <w:rFonts w:cstheme="minorHAnsi"/>
          <w:b/>
          <w:bCs/>
        </w:rPr>
        <w:t>farmaceitam jāpieslēdzas</w:t>
      </w:r>
      <w:r w:rsidRPr="00EA1E9B">
        <w:rPr>
          <w:rFonts w:cstheme="minorHAnsi"/>
        </w:rPr>
        <w:t xml:space="preserve"> E-veselības sistēmai un jāveic šo recepšu </w:t>
      </w:r>
      <w:proofErr w:type="spellStart"/>
      <w:r w:rsidRPr="00EA1E9B">
        <w:rPr>
          <w:rFonts w:cstheme="minorHAnsi"/>
        </w:rPr>
        <w:t>atprečošana</w:t>
      </w:r>
      <w:proofErr w:type="spellEnd"/>
      <w:r w:rsidRPr="00EA1E9B">
        <w:rPr>
          <w:rFonts w:cstheme="minorHAnsi"/>
        </w:rPr>
        <w:t xml:space="preserve"> E-veselības sistēmā.</w:t>
      </w:r>
    </w:p>
    <w:p w14:paraId="569C1B17" w14:textId="77777777" w:rsidR="00EA1E9B" w:rsidRPr="00EA1E9B" w:rsidRDefault="00EA1E9B" w:rsidP="00EA1E9B">
      <w:pPr>
        <w:numPr>
          <w:ilvl w:val="0"/>
          <w:numId w:val="32"/>
        </w:numPr>
        <w:jc w:val="both"/>
        <w:rPr>
          <w:rFonts w:cstheme="minorHAnsi"/>
        </w:rPr>
      </w:pPr>
      <w:r w:rsidRPr="00EA1E9B">
        <w:rPr>
          <w:rFonts w:cstheme="minorHAnsi"/>
          <w:b/>
          <w:bCs/>
        </w:rPr>
        <w:t>Nereģistrēto medikamentu</w:t>
      </w:r>
      <w:r w:rsidRPr="00EA1E9B">
        <w:rPr>
          <w:rFonts w:cstheme="minorHAnsi"/>
        </w:rPr>
        <w:t xml:space="preserve"> elektroniski izrakstītās receptes (parastās) tiek </w:t>
      </w:r>
      <w:proofErr w:type="spellStart"/>
      <w:r w:rsidRPr="00EA1E9B">
        <w:rPr>
          <w:rFonts w:cstheme="minorHAnsi"/>
        </w:rPr>
        <w:t>atprečotas</w:t>
      </w:r>
      <w:proofErr w:type="spellEnd"/>
      <w:r w:rsidRPr="00EA1E9B">
        <w:rPr>
          <w:rFonts w:cstheme="minorHAnsi"/>
        </w:rPr>
        <w:t xml:space="preserve"> E-veselības sistēmā, ja to </w:t>
      </w:r>
      <w:r w:rsidRPr="00EA1E9B">
        <w:rPr>
          <w:rFonts w:cstheme="minorHAnsi"/>
          <w:u w:val="single"/>
        </w:rPr>
        <w:t>nenodrošina</w:t>
      </w:r>
      <w:r w:rsidRPr="00EA1E9B">
        <w:rPr>
          <w:rFonts w:cstheme="minorHAnsi"/>
        </w:rPr>
        <w:t xml:space="preserve"> integratora sistēma. Jāņem vērā, ka farmaceitam </w:t>
      </w:r>
      <w:proofErr w:type="spellStart"/>
      <w:r w:rsidRPr="00EA1E9B">
        <w:rPr>
          <w:rFonts w:cstheme="minorHAnsi"/>
        </w:rPr>
        <w:t>atprečojot</w:t>
      </w:r>
      <w:proofErr w:type="spellEnd"/>
      <w:r w:rsidRPr="00EA1E9B">
        <w:rPr>
          <w:rFonts w:cstheme="minorHAnsi"/>
        </w:rPr>
        <w:t xml:space="preserve"> nereģistrēto medikamentu recepti, </w:t>
      </w:r>
      <w:r w:rsidRPr="00EA1E9B">
        <w:rPr>
          <w:rFonts w:cstheme="minorHAnsi"/>
          <w:u w:val="single"/>
        </w:rPr>
        <w:t>jāveic atzīmē izsniegšanas ziņojumā izvēlnes</w:t>
      </w:r>
      <w:r w:rsidRPr="00EA1E9B">
        <w:rPr>
          <w:rFonts w:cstheme="minorHAnsi"/>
        </w:rPr>
        <w:t xml:space="preserve"> rūtiņā </w:t>
      </w:r>
      <w:r w:rsidRPr="00EA1E9B">
        <w:rPr>
          <w:rFonts w:cstheme="minorHAnsi"/>
          <w:u w:val="single"/>
        </w:rPr>
        <w:t>Nereģistrētais</w:t>
      </w:r>
      <w:r w:rsidRPr="00EA1E9B">
        <w:rPr>
          <w:rFonts w:cstheme="minorHAnsi"/>
        </w:rPr>
        <w:t xml:space="preserve">, lai </w:t>
      </w:r>
      <w:r w:rsidRPr="00EA1E9B">
        <w:rPr>
          <w:rFonts w:cstheme="minorHAnsi"/>
          <w:b/>
          <w:bCs/>
        </w:rPr>
        <w:t>korekti aprēķinātu</w:t>
      </w:r>
      <w:r w:rsidRPr="00EA1E9B">
        <w:rPr>
          <w:rFonts w:cstheme="minorHAnsi"/>
        </w:rPr>
        <w:t xml:space="preserve"> FP maksu.</w:t>
      </w:r>
    </w:p>
    <w:p w14:paraId="3DC82742" w14:textId="77777777" w:rsidR="00EA1E9B" w:rsidRPr="00EA1E9B" w:rsidRDefault="00EA1E9B" w:rsidP="00EA1E9B">
      <w:pPr>
        <w:numPr>
          <w:ilvl w:val="0"/>
          <w:numId w:val="32"/>
        </w:numPr>
        <w:jc w:val="both"/>
        <w:rPr>
          <w:rFonts w:cstheme="minorHAnsi"/>
        </w:rPr>
      </w:pPr>
      <w:r w:rsidRPr="00EA1E9B">
        <w:rPr>
          <w:rFonts w:cstheme="minorHAnsi"/>
          <w:b/>
          <w:bCs/>
        </w:rPr>
        <w:t xml:space="preserve">Nereģistrēto medikamentu īpašās </w:t>
      </w:r>
      <w:r w:rsidRPr="00EA1E9B">
        <w:rPr>
          <w:rFonts w:cstheme="minorHAnsi"/>
        </w:rPr>
        <w:t>papīra receptes</w:t>
      </w:r>
      <w:r w:rsidRPr="00EA1E9B">
        <w:rPr>
          <w:rFonts w:cstheme="minorHAnsi"/>
          <w:b/>
          <w:bCs/>
        </w:rPr>
        <w:t xml:space="preserve"> elektronizē VIS.</w:t>
      </w:r>
    </w:p>
    <w:p w14:paraId="4296EA04" w14:textId="77777777" w:rsidR="00EA1E9B" w:rsidRPr="00EA1E9B" w:rsidRDefault="00EA1E9B" w:rsidP="00EA1E9B">
      <w:pPr>
        <w:numPr>
          <w:ilvl w:val="0"/>
          <w:numId w:val="32"/>
        </w:numPr>
        <w:jc w:val="both"/>
        <w:rPr>
          <w:rFonts w:cstheme="minorHAnsi"/>
        </w:rPr>
      </w:pPr>
      <w:proofErr w:type="spellStart"/>
      <w:r w:rsidRPr="00EA1E9B">
        <w:rPr>
          <w:rFonts w:cstheme="minorHAnsi"/>
        </w:rPr>
        <w:t>Atprečojot</w:t>
      </w:r>
      <w:proofErr w:type="spellEnd"/>
      <w:r w:rsidRPr="00EA1E9B">
        <w:rPr>
          <w:rFonts w:cstheme="minorHAnsi"/>
        </w:rPr>
        <w:t xml:space="preserve"> receptes (papīra un elektroniski izrakstītās) </w:t>
      </w:r>
      <w:r w:rsidRPr="00EA1E9B">
        <w:rPr>
          <w:rFonts w:cstheme="minorHAnsi"/>
          <w:b/>
          <w:bCs/>
        </w:rPr>
        <w:t>trūcīgām personām vai patvēruma meklētājam</w:t>
      </w:r>
      <w:r w:rsidRPr="00EA1E9B">
        <w:rPr>
          <w:rFonts w:cstheme="minorHAnsi"/>
        </w:rPr>
        <w:t>, veic izsniegšanas ziņojumā atzīmi izvēlnes rūtiņā Trūcīgā/patvēruma meklētājs, ja klients uzrādījis izziņu  vai dokumentu par šo statusu (kā līdz šim). FP maksu 100% maksā valsts.</w:t>
      </w:r>
    </w:p>
    <w:p w14:paraId="329C6988" w14:textId="77777777" w:rsidR="00EA1E9B" w:rsidRPr="00EA1E9B" w:rsidRDefault="00EA1E9B" w:rsidP="00EA1E9B">
      <w:pPr>
        <w:numPr>
          <w:ilvl w:val="0"/>
          <w:numId w:val="32"/>
        </w:numPr>
        <w:jc w:val="both"/>
        <w:rPr>
          <w:rFonts w:cstheme="minorHAnsi"/>
        </w:rPr>
      </w:pPr>
      <w:r w:rsidRPr="00EA1E9B">
        <w:rPr>
          <w:rFonts w:cstheme="minorHAnsi"/>
        </w:rPr>
        <w:t xml:space="preserve">FP maksa </w:t>
      </w:r>
      <w:r w:rsidRPr="00EA1E9B">
        <w:rPr>
          <w:rFonts w:cstheme="minorHAnsi"/>
          <w:b/>
          <w:bCs/>
        </w:rPr>
        <w:t>netiek piemērota</w:t>
      </w:r>
      <w:r w:rsidRPr="00EA1E9B">
        <w:rPr>
          <w:rFonts w:cstheme="minorHAnsi"/>
        </w:rPr>
        <w:t xml:space="preserve"> receptēm, uz kurām izrakstītas bezrecepšu zāles vai pagatavojamās zāles.</w:t>
      </w:r>
    </w:p>
    <w:p w14:paraId="35894439" w14:textId="77777777" w:rsidR="00EA1E9B" w:rsidRPr="00EA1E9B" w:rsidRDefault="00EA1E9B" w:rsidP="00EA1E9B">
      <w:pPr>
        <w:numPr>
          <w:ilvl w:val="0"/>
          <w:numId w:val="32"/>
        </w:numPr>
        <w:jc w:val="both"/>
        <w:rPr>
          <w:rFonts w:cstheme="minorHAnsi"/>
        </w:rPr>
      </w:pPr>
      <w:proofErr w:type="spellStart"/>
      <w:r w:rsidRPr="00EA1E9B">
        <w:rPr>
          <w:rFonts w:cstheme="minorHAnsi"/>
        </w:rPr>
        <w:t>Atprečojot</w:t>
      </w:r>
      <w:proofErr w:type="spellEnd"/>
      <w:r w:rsidRPr="00EA1E9B">
        <w:rPr>
          <w:rFonts w:cstheme="minorHAnsi"/>
        </w:rPr>
        <w:t xml:space="preserve"> recepti no ieslodzījuma vietas darbiniekam, kurš aptiekā saņem ieslodzītā recepšu medikamentus, izsniegšanas ziņojumā jāveic atzīme izvēlnes rūtiņā Ieslodzītais, lai korekti aprēķinātu FP maksu. Ja integratora sistēma to nenodrošina, </w:t>
      </w:r>
      <w:r w:rsidRPr="00EA1E9B">
        <w:rPr>
          <w:rFonts w:cstheme="minorHAnsi"/>
          <w:b/>
          <w:bCs/>
        </w:rPr>
        <w:t>farmaceitam jāpieslēdzas</w:t>
      </w:r>
      <w:r w:rsidRPr="00EA1E9B">
        <w:rPr>
          <w:rFonts w:cstheme="minorHAnsi"/>
        </w:rPr>
        <w:t xml:space="preserve"> E-veselības sistēmai un jāveic šo recepšu </w:t>
      </w:r>
      <w:proofErr w:type="spellStart"/>
      <w:r w:rsidRPr="00EA1E9B">
        <w:rPr>
          <w:rFonts w:cstheme="minorHAnsi"/>
        </w:rPr>
        <w:t>atprečošana</w:t>
      </w:r>
      <w:proofErr w:type="spellEnd"/>
      <w:r w:rsidRPr="00EA1E9B">
        <w:rPr>
          <w:rFonts w:cstheme="minorHAnsi"/>
        </w:rPr>
        <w:t xml:space="preserve"> E-veselības sistēmā. FP maksu 100% maksā pacients.</w:t>
      </w:r>
    </w:p>
    <w:p w14:paraId="1FCFF233" w14:textId="18631116" w:rsidR="00C73D74" w:rsidRPr="00571C9D" w:rsidRDefault="00EA1E9B" w:rsidP="00EA1E9B">
      <w:pPr>
        <w:jc w:val="both"/>
        <w:rPr>
          <w:rFonts w:cstheme="minorHAnsi"/>
        </w:rPr>
      </w:pPr>
      <w:r>
        <w:object w:dxaOrig="1520" w:dyaOrig="985" w14:anchorId="42CD46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76.2pt;height:49.2pt" o:ole="">
            <v:imagedata r:id="rId8" o:title=""/>
          </v:shape>
          <o:OLEObject Type="Embed" ProgID="AcroExch.Document.DC" ShapeID="_x0000_i1041" DrawAspect="Icon" ObjectID="_1797420884" r:id="rId9"/>
        </w:object>
      </w:r>
      <w:r>
        <w:object w:dxaOrig="1520" w:dyaOrig="985" w14:anchorId="581148A2">
          <v:shape id="_x0000_i1040" type="#_x0000_t75" style="width:76.2pt;height:49.2pt" o:ole="">
            <v:imagedata r:id="rId10" o:title=""/>
          </v:shape>
          <o:OLEObject Type="Embed" ProgID="AcroExch.Document.DC" ShapeID="_x0000_i1040" DrawAspect="Icon" ObjectID="_1797420885" r:id="rId11"/>
        </w:object>
      </w:r>
      <w:r>
        <w:object w:dxaOrig="1520" w:dyaOrig="985" w14:anchorId="2A1C4971">
          <v:shape id="_x0000_i1039" type="#_x0000_t75" style="width:76.2pt;height:49.2pt" o:ole="">
            <v:imagedata r:id="rId12" o:title=""/>
          </v:shape>
          <o:OLEObject Type="Embed" ProgID="AcroExch.Document.DC" ShapeID="_x0000_i1039" DrawAspect="Icon" ObjectID="_1797420886" r:id="rId13"/>
        </w:object>
      </w:r>
      <w:r>
        <w:object w:dxaOrig="1520" w:dyaOrig="985" w14:anchorId="1A3A3EAF">
          <v:shape id="_x0000_i1038" type="#_x0000_t75" style="width:76.2pt;height:49.2pt" o:ole="">
            <v:imagedata r:id="rId14" o:title=""/>
          </v:shape>
          <o:OLEObject Type="Embed" ProgID="AcroExch.Document.DC" ShapeID="_x0000_i1038" DrawAspect="Icon" ObjectID="_1797420887" r:id="rId15"/>
        </w:object>
      </w:r>
      <w:r>
        <w:object w:dxaOrig="1520" w:dyaOrig="985" w14:anchorId="47836FC1">
          <v:shape id="_x0000_i1037" type="#_x0000_t75" style="width:76.2pt;height:49.2pt" o:ole="">
            <v:imagedata r:id="rId16" o:title=""/>
          </v:shape>
          <o:OLEObject Type="Embed" ProgID="Word.Document.12" ShapeID="_x0000_i1037" DrawAspect="Icon" ObjectID="_1797420888" r:id="rId17">
            <o:FieldCodes>\s</o:FieldCodes>
          </o:OLEObject>
        </w:object>
      </w:r>
    </w:p>
    <w:sectPr w:rsidR="00C73D74" w:rsidRPr="00571C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D6761D2"/>
    <w:multiLevelType w:val="hybridMultilevel"/>
    <w:tmpl w:val="3D6CB3AC"/>
    <w:lvl w:ilvl="0" w:tplc="62BE9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54A9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3145E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901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26F1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B72B5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BE1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FC2B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D06B5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E8450D"/>
    <w:multiLevelType w:val="hybridMultilevel"/>
    <w:tmpl w:val="16006C34"/>
    <w:lvl w:ilvl="0" w:tplc="533A60E8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3F78BB"/>
    <w:multiLevelType w:val="hybridMultilevel"/>
    <w:tmpl w:val="0A8E60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9"/>
  </w:num>
  <w:num w:numId="2" w16cid:durableId="8610184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1"/>
  </w:num>
  <w:num w:numId="4" w16cid:durableId="1635259919">
    <w:abstractNumId w:val="26"/>
  </w:num>
  <w:num w:numId="5" w16cid:durableId="1657148472">
    <w:abstractNumId w:val="23"/>
  </w:num>
  <w:num w:numId="6" w16cid:durableId="1106003344">
    <w:abstractNumId w:val="17"/>
  </w:num>
  <w:num w:numId="7" w16cid:durableId="375082792">
    <w:abstractNumId w:val="22"/>
  </w:num>
  <w:num w:numId="8" w16cid:durableId="1798452046">
    <w:abstractNumId w:val="7"/>
  </w:num>
  <w:num w:numId="9" w16cid:durableId="1326278971">
    <w:abstractNumId w:val="28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1"/>
  </w:num>
  <w:num w:numId="17" w16cid:durableId="1079059332">
    <w:abstractNumId w:val="21"/>
  </w:num>
  <w:num w:numId="18" w16cid:durableId="1466317037">
    <w:abstractNumId w:val="14"/>
  </w:num>
  <w:num w:numId="19" w16cid:durableId="1294941619">
    <w:abstractNumId w:val="19"/>
  </w:num>
  <w:num w:numId="20" w16cid:durableId="348720614">
    <w:abstractNumId w:val="13"/>
  </w:num>
  <w:num w:numId="21" w16cid:durableId="1340541331">
    <w:abstractNumId w:val="18"/>
  </w:num>
  <w:num w:numId="22" w16cid:durableId="2119063125">
    <w:abstractNumId w:val="0"/>
  </w:num>
  <w:num w:numId="23" w16cid:durableId="1524972188">
    <w:abstractNumId w:val="9"/>
  </w:num>
  <w:num w:numId="24" w16cid:durableId="1907256432">
    <w:abstractNumId w:val="5"/>
  </w:num>
  <w:num w:numId="25" w16cid:durableId="1944649987">
    <w:abstractNumId w:val="30"/>
  </w:num>
  <w:num w:numId="26" w16cid:durableId="195195036">
    <w:abstractNumId w:val="10"/>
  </w:num>
  <w:num w:numId="27" w16cid:durableId="1212767704">
    <w:abstractNumId w:val="6"/>
  </w:num>
  <w:num w:numId="28" w16cid:durableId="11414568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80641935">
    <w:abstractNumId w:val="15"/>
  </w:num>
  <w:num w:numId="30" w16cid:durableId="1730494094">
    <w:abstractNumId w:val="16"/>
  </w:num>
  <w:num w:numId="31" w16cid:durableId="1786193096">
    <w:abstractNumId w:val="12"/>
  </w:num>
  <w:num w:numId="32" w16cid:durableId="2043717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A56FF"/>
    <w:rsid w:val="000C6255"/>
    <w:rsid w:val="000E0C29"/>
    <w:rsid w:val="000E24B0"/>
    <w:rsid w:val="001530FF"/>
    <w:rsid w:val="001774CD"/>
    <w:rsid w:val="00186157"/>
    <w:rsid w:val="001B1BDA"/>
    <w:rsid w:val="001B4A48"/>
    <w:rsid w:val="001C0B3E"/>
    <w:rsid w:val="001C6C78"/>
    <w:rsid w:val="001D61FC"/>
    <w:rsid w:val="001E15BA"/>
    <w:rsid w:val="002215B2"/>
    <w:rsid w:val="00287E5C"/>
    <w:rsid w:val="002C35F4"/>
    <w:rsid w:val="002C7EFF"/>
    <w:rsid w:val="002F48A6"/>
    <w:rsid w:val="002F5E0E"/>
    <w:rsid w:val="00304706"/>
    <w:rsid w:val="0030758B"/>
    <w:rsid w:val="0032507A"/>
    <w:rsid w:val="00327A80"/>
    <w:rsid w:val="00330428"/>
    <w:rsid w:val="00335C8D"/>
    <w:rsid w:val="00371232"/>
    <w:rsid w:val="00386C7C"/>
    <w:rsid w:val="0039319B"/>
    <w:rsid w:val="003A5B10"/>
    <w:rsid w:val="003D33D0"/>
    <w:rsid w:val="003E3B83"/>
    <w:rsid w:val="004078D5"/>
    <w:rsid w:val="00416FA7"/>
    <w:rsid w:val="00446226"/>
    <w:rsid w:val="004739D6"/>
    <w:rsid w:val="004824D3"/>
    <w:rsid w:val="0048268D"/>
    <w:rsid w:val="00484F86"/>
    <w:rsid w:val="0049335D"/>
    <w:rsid w:val="004A4644"/>
    <w:rsid w:val="004A4E77"/>
    <w:rsid w:val="004E6167"/>
    <w:rsid w:val="005041FB"/>
    <w:rsid w:val="00517648"/>
    <w:rsid w:val="00521A40"/>
    <w:rsid w:val="00534844"/>
    <w:rsid w:val="00541D14"/>
    <w:rsid w:val="00550820"/>
    <w:rsid w:val="00550899"/>
    <w:rsid w:val="00564BE5"/>
    <w:rsid w:val="00571C9D"/>
    <w:rsid w:val="005A345A"/>
    <w:rsid w:val="005B3905"/>
    <w:rsid w:val="0061133A"/>
    <w:rsid w:val="00613C16"/>
    <w:rsid w:val="006652A8"/>
    <w:rsid w:val="0067605D"/>
    <w:rsid w:val="00693CF0"/>
    <w:rsid w:val="00693E3F"/>
    <w:rsid w:val="00695B0E"/>
    <w:rsid w:val="006A525A"/>
    <w:rsid w:val="006A5526"/>
    <w:rsid w:val="006B4DCE"/>
    <w:rsid w:val="006D61C4"/>
    <w:rsid w:val="006E1BC3"/>
    <w:rsid w:val="006F0546"/>
    <w:rsid w:val="00712CFD"/>
    <w:rsid w:val="0071736A"/>
    <w:rsid w:val="007B77BE"/>
    <w:rsid w:val="007C0400"/>
    <w:rsid w:val="007C1832"/>
    <w:rsid w:val="007C2C25"/>
    <w:rsid w:val="007F1F9C"/>
    <w:rsid w:val="008137AF"/>
    <w:rsid w:val="0083168F"/>
    <w:rsid w:val="008704E3"/>
    <w:rsid w:val="00871A3D"/>
    <w:rsid w:val="00880DDB"/>
    <w:rsid w:val="00886BDC"/>
    <w:rsid w:val="00893247"/>
    <w:rsid w:val="00894A57"/>
    <w:rsid w:val="008A2510"/>
    <w:rsid w:val="008D32F4"/>
    <w:rsid w:val="00923F48"/>
    <w:rsid w:val="00940625"/>
    <w:rsid w:val="0095527A"/>
    <w:rsid w:val="009B6E3B"/>
    <w:rsid w:val="009D6094"/>
    <w:rsid w:val="00A02CBE"/>
    <w:rsid w:val="00A12D67"/>
    <w:rsid w:val="00A17177"/>
    <w:rsid w:val="00A426EA"/>
    <w:rsid w:val="00A440C3"/>
    <w:rsid w:val="00A50BC8"/>
    <w:rsid w:val="00A80153"/>
    <w:rsid w:val="00A909DC"/>
    <w:rsid w:val="00A972F0"/>
    <w:rsid w:val="00AB4365"/>
    <w:rsid w:val="00AE3F01"/>
    <w:rsid w:val="00AE4F9D"/>
    <w:rsid w:val="00AF4662"/>
    <w:rsid w:val="00B133EE"/>
    <w:rsid w:val="00B168D0"/>
    <w:rsid w:val="00B246EF"/>
    <w:rsid w:val="00B56F33"/>
    <w:rsid w:val="00B6351F"/>
    <w:rsid w:val="00B643EC"/>
    <w:rsid w:val="00B66AD0"/>
    <w:rsid w:val="00B77C0E"/>
    <w:rsid w:val="00B94B02"/>
    <w:rsid w:val="00B95AEB"/>
    <w:rsid w:val="00B95F91"/>
    <w:rsid w:val="00BA48D3"/>
    <w:rsid w:val="00BB7187"/>
    <w:rsid w:val="00BD127E"/>
    <w:rsid w:val="00BE2CD4"/>
    <w:rsid w:val="00C159CF"/>
    <w:rsid w:val="00C73D74"/>
    <w:rsid w:val="00C82A8A"/>
    <w:rsid w:val="00CA6316"/>
    <w:rsid w:val="00CD20A4"/>
    <w:rsid w:val="00CF63DD"/>
    <w:rsid w:val="00CF744E"/>
    <w:rsid w:val="00D2785A"/>
    <w:rsid w:val="00D32E3D"/>
    <w:rsid w:val="00D72FCF"/>
    <w:rsid w:val="00D75D6C"/>
    <w:rsid w:val="00D8035C"/>
    <w:rsid w:val="00D87A54"/>
    <w:rsid w:val="00DB15E8"/>
    <w:rsid w:val="00DB3AF5"/>
    <w:rsid w:val="00DC017F"/>
    <w:rsid w:val="00E06F16"/>
    <w:rsid w:val="00E20FF8"/>
    <w:rsid w:val="00EA1E9B"/>
    <w:rsid w:val="00EA4FB9"/>
    <w:rsid w:val="00EB64EA"/>
    <w:rsid w:val="00EF64C4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styleId="Header">
    <w:name w:val="header"/>
    <w:basedOn w:val="Normal"/>
    <w:link w:val="HeaderChar"/>
    <w:uiPriority w:val="99"/>
    <w:semiHidden/>
    <w:unhideWhenUsed/>
    <w:rsid w:val="000A56FF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A56F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17" Type="http://schemas.openxmlformats.org/officeDocument/2006/relationships/package" Target="embeddings/Microsoft_Word_Document.docx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2.bin"/><Relationship Id="rId5" Type="http://schemas.openxmlformats.org/officeDocument/2006/relationships/styles" Target="style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CA89D2-4A3C-4DEA-802D-6AD315C76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1520</Words>
  <Characters>867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2025-01-03T12:48:00Z</dcterms:created>
  <dcterms:modified xsi:type="dcterms:W3CDTF">2025-01-03T12:48:00Z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