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02A60FA4" wp14:editId="37B2B363">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5D98A845" wp14:editId="447C3E9A">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2DF96EB7"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RDefault="00000000" w:rsidP="00E46A48">
      <w:pPr>
        <w:pStyle w:val="Galvene"/>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1"/>
        <w:gridCol w:w="3650"/>
      </w:tblGrid>
      <w:tr w:rsidR="006F3C0C" w:rsidTr="00C5711F">
        <w:trPr>
          <w:trHeight w:val="313"/>
        </w:trPr>
        <w:tc>
          <w:tcPr>
            <w:tcW w:w="5495" w:type="dxa"/>
            <w:shd w:val="clear" w:color="auto" w:fill="auto"/>
          </w:tcPr>
          <w:p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1-8.2/2025/596</w:t>
            </w:r>
          </w:p>
          <w:p w:rsidR="002079F2" w:rsidRPr="00CB2202" w:rsidRDefault="002079F2" w:rsidP="00222B8B">
            <w:pPr>
              <w:tabs>
                <w:tab w:val="left" w:pos="0"/>
                <w:tab w:val="left" w:pos="7371"/>
              </w:tabs>
              <w:rPr>
                <w:sz w:val="24"/>
                <w:szCs w:val="24"/>
              </w:rPr>
            </w:pPr>
          </w:p>
        </w:tc>
        <w:tc>
          <w:tcPr>
            <w:tcW w:w="3685" w:type="dxa"/>
            <w:shd w:val="clear" w:color="auto" w:fill="auto"/>
          </w:tcPr>
          <w:p w:rsidR="00B908DB" w:rsidRDefault="00000000" w:rsidP="00222B8B">
            <w:pPr>
              <w:tabs>
                <w:tab w:val="left" w:pos="0"/>
                <w:tab w:val="left" w:pos="7371"/>
              </w:tabs>
              <w:rPr>
                <w:noProof/>
                <w:sz w:val="24"/>
                <w:szCs w:val="24"/>
              </w:rPr>
            </w:pPr>
            <w:r>
              <w:rPr>
                <w:noProof/>
                <w:sz w:val="24"/>
                <w:szCs w:val="24"/>
              </w:rPr>
              <w:t>Latvijas Lauku ģimenes ārstu asociācija</w:t>
            </w:r>
          </w:p>
          <w:p w:rsidR="00B908DB" w:rsidRDefault="00B908DB" w:rsidP="00222B8B">
            <w:pPr>
              <w:tabs>
                <w:tab w:val="left" w:pos="0"/>
                <w:tab w:val="left" w:pos="7371"/>
              </w:tabs>
              <w:rPr>
                <w:noProof/>
                <w:sz w:val="24"/>
                <w:szCs w:val="24"/>
              </w:rPr>
            </w:pPr>
          </w:p>
          <w:p w:rsidR="00B908DB" w:rsidRDefault="00000000" w:rsidP="00B908DB">
            <w:pPr>
              <w:tabs>
                <w:tab w:val="left" w:pos="0"/>
                <w:tab w:val="left" w:pos="7371"/>
              </w:tabs>
              <w:rPr>
                <w:noProof/>
                <w:sz w:val="24"/>
                <w:szCs w:val="24"/>
              </w:rPr>
            </w:pPr>
            <w:r>
              <w:rPr>
                <w:noProof/>
                <w:sz w:val="24"/>
                <w:szCs w:val="24"/>
              </w:rPr>
              <w:t xml:space="preserve">Latvijas Ģimenes ārstu asociācija </w:t>
            </w:r>
          </w:p>
          <w:p w:rsidR="00B908DB" w:rsidRDefault="00B908DB" w:rsidP="00B908DB">
            <w:pPr>
              <w:tabs>
                <w:tab w:val="left" w:pos="0"/>
                <w:tab w:val="left" w:pos="7371"/>
              </w:tabs>
              <w:rPr>
                <w:noProof/>
                <w:sz w:val="24"/>
                <w:szCs w:val="24"/>
              </w:rPr>
            </w:pPr>
          </w:p>
          <w:p w:rsidR="00B908DB" w:rsidRDefault="00000000" w:rsidP="00B908DB">
            <w:pPr>
              <w:tabs>
                <w:tab w:val="left" w:pos="0"/>
                <w:tab w:val="left" w:pos="7371"/>
              </w:tabs>
              <w:rPr>
                <w:noProof/>
                <w:sz w:val="24"/>
                <w:szCs w:val="24"/>
              </w:rPr>
            </w:pPr>
            <w:r>
              <w:rPr>
                <w:noProof/>
                <w:sz w:val="24"/>
                <w:szCs w:val="24"/>
              </w:rPr>
              <w:t>Latvijas Pediatru asociācija</w:t>
            </w:r>
          </w:p>
          <w:p w:rsidR="00B908DB" w:rsidRDefault="00B908DB" w:rsidP="00B908DB">
            <w:pPr>
              <w:tabs>
                <w:tab w:val="left" w:pos="0"/>
                <w:tab w:val="left" w:pos="7371"/>
              </w:tabs>
              <w:rPr>
                <w:noProof/>
                <w:sz w:val="24"/>
                <w:szCs w:val="24"/>
              </w:rPr>
            </w:pPr>
          </w:p>
          <w:p w:rsidR="00B908DB" w:rsidRDefault="00000000" w:rsidP="00B908DB">
            <w:pPr>
              <w:tabs>
                <w:tab w:val="left" w:pos="0"/>
                <w:tab w:val="left" w:pos="7371"/>
              </w:tabs>
              <w:rPr>
                <w:noProof/>
                <w:sz w:val="24"/>
                <w:szCs w:val="24"/>
              </w:rPr>
            </w:pPr>
            <w:r>
              <w:rPr>
                <w:noProof/>
                <w:sz w:val="24"/>
                <w:szCs w:val="24"/>
              </w:rPr>
              <w:t xml:space="preserve">Nacionālais veselības dienests </w:t>
            </w:r>
            <w:r w:rsidRPr="00B908DB">
              <w:rPr>
                <w:noProof/>
                <w:sz w:val="24"/>
                <w:szCs w:val="24"/>
              </w:rPr>
              <w:t>izsūtīšanai līgumpartneriem</w:t>
            </w:r>
            <w:r>
              <w:rPr>
                <w:noProof/>
                <w:sz w:val="24"/>
                <w:szCs w:val="24"/>
              </w:rPr>
              <w:t xml:space="preserve"> </w:t>
            </w:r>
          </w:p>
          <w:p w:rsidR="00B908DB" w:rsidRDefault="00B908DB" w:rsidP="00B908DB">
            <w:pPr>
              <w:tabs>
                <w:tab w:val="left" w:pos="0"/>
                <w:tab w:val="left" w:pos="7371"/>
              </w:tabs>
              <w:rPr>
                <w:noProof/>
                <w:sz w:val="24"/>
                <w:szCs w:val="24"/>
              </w:rPr>
            </w:pPr>
          </w:p>
          <w:p w:rsidR="00B908DB" w:rsidRPr="00B908DB" w:rsidRDefault="00000000" w:rsidP="00B908DB">
            <w:pPr>
              <w:tabs>
                <w:tab w:val="left" w:pos="0"/>
                <w:tab w:val="left" w:pos="7371"/>
              </w:tabs>
              <w:rPr>
                <w:noProof/>
                <w:sz w:val="24"/>
                <w:szCs w:val="24"/>
              </w:rPr>
            </w:pPr>
            <w:r w:rsidRPr="00B908DB">
              <w:rPr>
                <w:noProof/>
                <w:sz w:val="24"/>
                <w:szCs w:val="24"/>
              </w:rPr>
              <w:t xml:space="preserve">Stacionārās ārstniecības iestādes </w:t>
            </w:r>
          </w:p>
          <w:p w:rsidR="00B908DB" w:rsidRDefault="00000000" w:rsidP="00B908DB">
            <w:pPr>
              <w:tabs>
                <w:tab w:val="left" w:pos="0"/>
                <w:tab w:val="left" w:pos="7371"/>
              </w:tabs>
              <w:rPr>
                <w:noProof/>
                <w:sz w:val="24"/>
                <w:szCs w:val="24"/>
              </w:rPr>
            </w:pPr>
            <w:r w:rsidRPr="00B908DB">
              <w:rPr>
                <w:noProof/>
                <w:sz w:val="24"/>
                <w:szCs w:val="24"/>
              </w:rPr>
              <w:t>(pēc pievienotā saraksta)</w:t>
            </w:r>
          </w:p>
          <w:p w:rsidR="00B908DB" w:rsidRDefault="00B908DB" w:rsidP="00B908DB">
            <w:pPr>
              <w:tabs>
                <w:tab w:val="left" w:pos="0"/>
                <w:tab w:val="left" w:pos="7371"/>
              </w:tabs>
              <w:rPr>
                <w:noProof/>
                <w:sz w:val="24"/>
                <w:szCs w:val="24"/>
              </w:rPr>
            </w:pPr>
          </w:p>
          <w:p w:rsidR="00B908DB" w:rsidRPr="00B908DB" w:rsidRDefault="00000000" w:rsidP="00B908DB">
            <w:pPr>
              <w:tabs>
                <w:tab w:val="left" w:pos="0"/>
                <w:tab w:val="left" w:pos="7371"/>
              </w:tabs>
              <w:rPr>
                <w:i/>
                <w:iCs/>
                <w:noProof/>
                <w:sz w:val="24"/>
                <w:szCs w:val="24"/>
              </w:rPr>
            </w:pPr>
            <w:r w:rsidRPr="00B908DB">
              <w:rPr>
                <w:i/>
                <w:iCs/>
                <w:noProof/>
                <w:sz w:val="24"/>
                <w:szCs w:val="24"/>
              </w:rPr>
              <w:t>Zināšanai</w:t>
            </w:r>
          </w:p>
          <w:p w:rsidR="00B908DB" w:rsidRDefault="00000000" w:rsidP="00B908DB">
            <w:pPr>
              <w:tabs>
                <w:tab w:val="left" w:pos="0"/>
                <w:tab w:val="left" w:pos="7371"/>
              </w:tabs>
              <w:rPr>
                <w:noProof/>
                <w:sz w:val="24"/>
                <w:szCs w:val="24"/>
              </w:rPr>
            </w:pPr>
            <w:r>
              <w:rPr>
                <w:noProof/>
                <w:sz w:val="24"/>
                <w:szCs w:val="24"/>
              </w:rPr>
              <w:t>Veselības inspekcija</w:t>
            </w:r>
          </w:p>
          <w:p w:rsidR="00B908DB" w:rsidRDefault="00000000" w:rsidP="00B908DB">
            <w:pPr>
              <w:tabs>
                <w:tab w:val="left" w:pos="0"/>
                <w:tab w:val="left" w:pos="7371"/>
              </w:tabs>
              <w:rPr>
                <w:noProof/>
                <w:sz w:val="24"/>
                <w:szCs w:val="24"/>
              </w:rPr>
            </w:pPr>
            <w:r>
              <w:rPr>
                <w:noProof/>
                <w:sz w:val="24"/>
                <w:szCs w:val="24"/>
              </w:rPr>
              <w:t>Zāļu valsts aģentūra</w:t>
            </w:r>
          </w:p>
          <w:p w:rsidR="002079F2" w:rsidRDefault="00000000" w:rsidP="00222B8B">
            <w:pPr>
              <w:tabs>
                <w:tab w:val="left" w:pos="0"/>
                <w:tab w:val="left" w:pos="7371"/>
              </w:tabs>
              <w:rPr>
                <w:sz w:val="24"/>
                <w:szCs w:val="24"/>
              </w:rPr>
            </w:pPr>
            <w:r>
              <w:rPr>
                <w:noProof/>
                <w:sz w:val="24"/>
                <w:szCs w:val="24"/>
              </w:rPr>
              <w:t>Veselības ministrija</w:t>
            </w:r>
          </w:p>
        </w:tc>
      </w:tr>
    </w:tbl>
    <w:p w:rsidR="002079F2" w:rsidRPr="00195A3A" w:rsidRDefault="00000000" w:rsidP="002079F2">
      <w:pPr>
        <w:pStyle w:val="Galvene"/>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neatbilstoša derīguma termiņa vakcīnu lietošanu ārstniecības iestādēs</w:t>
      </w:r>
    </w:p>
    <w:p w:rsidR="004F3461" w:rsidRPr="004F3461" w:rsidRDefault="00000000" w:rsidP="004F3461">
      <w:pPr>
        <w:tabs>
          <w:tab w:val="left" w:pos="1134"/>
        </w:tabs>
        <w:ind w:firstLine="720"/>
        <w:jc w:val="both"/>
        <w:rPr>
          <w:noProof/>
          <w:sz w:val="24"/>
          <w:szCs w:val="24"/>
          <w:lang w:eastAsia="lv-LV"/>
        </w:rPr>
      </w:pPr>
      <w:r w:rsidRPr="004F3461">
        <w:rPr>
          <w:noProof/>
          <w:sz w:val="24"/>
          <w:szCs w:val="24"/>
          <w:lang w:eastAsia="lv-LV"/>
        </w:rPr>
        <w:t>Slimību profilakses un kontroles centrs (turpmāk – Centrs), veicot vakcinācijas datu analīzi par vienotajā veselības nozares elektroniskās informācijas sistēmā ievadītajiem vakcinācijas faktiem, ir konstatējis, ka vairākas ārstniecības iestādes par vairākām vakcīnām ir ievadījušas informāciju, no kuras var pieļaut, ka pacientiem lietota vakcīna, kuras derīguma termiņš uz vakcinācijas datumu bija beidzies. Veselības inspekcija veic konstatēto faktu pārbaudi. Centrs atgādina, ka zāļu, tai skaitā vakcīnu, lietošana pēc norādītā derīguma termiņa beigām nav pieļaujama. Šādas vakcīnas negarantē nepieciešamo aizsardzību pret konkrētajām infekcijām, turklāt šādi incidenti grauj sabiedrības uzticēšanos vakcinācijai un vakcinācijas drošībai.</w:t>
      </w:r>
    </w:p>
    <w:p w:rsidR="004F3461" w:rsidRPr="003B48D5" w:rsidRDefault="00000000" w:rsidP="004F3461">
      <w:pPr>
        <w:tabs>
          <w:tab w:val="left" w:pos="1134"/>
        </w:tabs>
        <w:ind w:firstLine="720"/>
        <w:jc w:val="both"/>
        <w:rPr>
          <w:rFonts w:asciiTheme="majorBidi" w:hAnsiTheme="majorBidi" w:cstheme="majorBidi"/>
          <w:noProof/>
          <w:sz w:val="24"/>
          <w:szCs w:val="24"/>
          <w:lang w:eastAsia="lv-LV"/>
        </w:rPr>
      </w:pPr>
      <w:r w:rsidRPr="004F3461">
        <w:rPr>
          <w:noProof/>
          <w:sz w:val="24"/>
          <w:szCs w:val="24"/>
          <w:lang w:eastAsia="lv-LV"/>
        </w:rPr>
        <w:t>Veicot lielu skaitu vakcināciju, ir iespējamas neatbilstības un tādēļ ir ļoti svarīgi veikt pasākumu ko</w:t>
      </w:r>
      <w:r w:rsidR="00EE1156">
        <w:rPr>
          <w:noProof/>
          <w:sz w:val="24"/>
          <w:szCs w:val="24"/>
          <w:lang w:eastAsia="lv-LV"/>
        </w:rPr>
        <w:t>pu</w:t>
      </w:r>
      <w:r w:rsidRPr="004F3461">
        <w:rPr>
          <w:noProof/>
          <w:sz w:val="24"/>
          <w:szCs w:val="24"/>
          <w:lang w:eastAsia="lv-LV"/>
        </w:rPr>
        <w:t xml:space="preserve">mu, kas dod iespēju šādus negadījumus novērst. Lai nodrošinātu, ka netiek izmantotas </w:t>
      </w:r>
      <w:r w:rsidRPr="003B48D5">
        <w:rPr>
          <w:rFonts w:asciiTheme="majorBidi" w:hAnsiTheme="majorBidi" w:cstheme="majorBidi"/>
          <w:noProof/>
          <w:sz w:val="24"/>
          <w:szCs w:val="24"/>
          <w:lang w:eastAsia="lv-LV"/>
        </w:rPr>
        <w:t>vakcīnas pēc derīguma termiņa beigām, vakcinācijas iestādēm jāveic šādi pasākumi:</w:t>
      </w:r>
    </w:p>
    <w:p w:rsidR="003B48D5" w:rsidRPr="003B48D5" w:rsidRDefault="00000000" w:rsidP="003B48D5">
      <w:pPr>
        <w:pStyle w:val="Sarakstarindkopa"/>
        <w:numPr>
          <w:ilvl w:val="0"/>
          <w:numId w:val="10"/>
        </w:numPr>
        <w:tabs>
          <w:tab w:val="left" w:pos="1134"/>
        </w:tabs>
        <w:ind w:left="990" w:hanging="270"/>
        <w:jc w:val="both"/>
        <w:rPr>
          <w:rFonts w:asciiTheme="majorBidi" w:hAnsiTheme="majorBidi" w:cstheme="majorBidi"/>
          <w:noProof/>
          <w:sz w:val="24"/>
          <w:szCs w:val="24"/>
          <w:lang w:eastAsia="lv-LV"/>
        </w:rPr>
      </w:pPr>
      <w:r w:rsidRPr="003B48D5">
        <w:rPr>
          <w:rFonts w:asciiTheme="majorBidi" w:hAnsiTheme="majorBidi" w:cstheme="majorBidi"/>
          <w:noProof/>
          <w:sz w:val="24"/>
          <w:szCs w:val="24"/>
          <w:lang w:eastAsia="lv-LV"/>
        </w:rPr>
        <w:t>pirms katras vakcinācijas, izņemot vakcīnu no ledusskapja, pārbaudīt vakcīnas derīguma termiņu;</w:t>
      </w:r>
    </w:p>
    <w:p w:rsidR="003B48D5" w:rsidRPr="003B48D5" w:rsidRDefault="00000000" w:rsidP="003B48D5">
      <w:pPr>
        <w:pStyle w:val="Sarakstarindkopa"/>
        <w:numPr>
          <w:ilvl w:val="0"/>
          <w:numId w:val="10"/>
        </w:numPr>
        <w:tabs>
          <w:tab w:val="left" w:pos="1134"/>
        </w:tabs>
        <w:ind w:left="990" w:hanging="270"/>
        <w:jc w:val="both"/>
        <w:rPr>
          <w:rFonts w:asciiTheme="majorBidi" w:hAnsiTheme="majorBidi" w:cstheme="majorBidi"/>
          <w:noProof/>
          <w:sz w:val="24"/>
          <w:szCs w:val="24"/>
          <w:lang w:eastAsia="lv-LV"/>
        </w:rPr>
      </w:pPr>
      <w:r w:rsidRPr="003B48D5">
        <w:rPr>
          <w:rFonts w:asciiTheme="majorBidi" w:hAnsiTheme="majorBidi" w:cstheme="majorBidi"/>
          <w:noProof/>
          <w:sz w:val="24"/>
          <w:szCs w:val="24"/>
          <w:lang w:eastAsia="lv-LV"/>
        </w:rPr>
        <w:t xml:space="preserve">nepieļaut pārmērīgu vakcīnu uzkrāšanos vakcinācijas iestāžu ledusskapjos un to ilgstošu glabāšanu ārstniecības iestādēs, ievērojot normatīvajā regulējumā noteikto prasību, ka vakcinācijas iestādes pasūta vakcīnas “tādā daudzumā, kas nepārsniedz vakcinācijas iestādes divu mēnešu vidējo katras vakcīnas izlietojumu”; </w:t>
      </w:r>
    </w:p>
    <w:p w:rsidR="003B48D5" w:rsidRPr="003B48D5" w:rsidRDefault="00000000" w:rsidP="003B48D5">
      <w:pPr>
        <w:pStyle w:val="Sarakstarindkopa"/>
        <w:numPr>
          <w:ilvl w:val="0"/>
          <w:numId w:val="10"/>
        </w:numPr>
        <w:tabs>
          <w:tab w:val="left" w:pos="1134"/>
        </w:tabs>
        <w:ind w:left="990" w:hanging="270"/>
        <w:jc w:val="both"/>
        <w:rPr>
          <w:rFonts w:asciiTheme="majorBidi" w:hAnsiTheme="majorBidi" w:cstheme="majorBidi"/>
          <w:noProof/>
          <w:sz w:val="24"/>
          <w:szCs w:val="24"/>
          <w:lang w:eastAsia="lv-LV"/>
        </w:rPr>
      </w:pPr>
      <w:r w:rsidRPr="003B48D5">
        <w:rPr>
          <w:rFonts w:asciiTheme="majorBidi" w:hAnsiTheme="majorBidi" w:cstheme="majorBidi"/>
          <w:noProof/>
          <w:sz w:val="24"/>
          <w:szCs w:val="24"/>
          <w:lang w:eastAsia="lv-LV"/>
        </w:rPr>
        <w:t>regulāri (ne retāk kā reizi mēnesī) fiziski pārbaudīt ledusskapī esošo vakcīnu derīguma termiņus;</w:t>
      </w:r>
    </w:p>
    <w:p w:rsidR="003B48D5" w:rsidRPr="003B48D5" w:rsidRDefault="00000000" w:rsidP="003B48D5">
      <w:pPr>
        <w:pStyle w:val="Sarakstarindkopa"/>
        <w:numPr>
          <w:ilvl w:val="0"/>
          <w:numId w:val="10"/>
        </w:numPr>
        <w:tabs>
          <w:tab w:val="left" w:pos="1134"/>
        </w:tabs>
        <w:ind w:left="990" w:hanging="270"/>
        <w:jc w:val="both"/>
        <w:rPr>
          <w:rFonts w:asciiTheme="majorBidi" w:hAnsiTheme="majorBidi" w:cstheme="majorBidi"/>
          <w:noProof/>
          <w:sz w:val="24"/>
          <w:szCs w:val="24"/>
          <w:lang w:eastAsia="lv-LV"/>
        </w:rPr>
      </w:pPr>
      <w:r w:rsidRPr="003B48D5">
        <w:rPr>
          <w:rFonts w:asciiTheme="majorBidi" w:hAnsiTheme="majorBidi" w:cstheme="majorBidi"/>
          <w:noProof/>
          <w:sz w:val="24"/>
          <w:szCs w:val="24"/>
          <w:lang w:eastAsia="lv-LV"/>
        </w:rPr>
        <w:t>pēc vakcīnu derīguma termiņa beigām nekavējoties norakstīt vakcīnas un nodot tās utilizēšanai;</w:t>
      </w:r>
    </w:p>
    <w:p w:rsidR="003B48D5" w:rsidRPr="003B48D5" w:rsidRDefault="00000000" w:rsidP="003B48D5">
      <w:pPr>
        <w:pStyle w:val="Sarakstarindkopa"/>
        <w:numPr>
          <w:ilvl w:val="0"/>
          <w:numId w:val="10"/>
        </w:numPr>
        <w:tabs>
          <w:tab w:val="left" w:pos="1134"/>
        </w:tabs>
        <w:ind w:left="990" w:hanging="270"/>
        <w:jc w:val="both"/>
        <w:rPr>
          <w:rFonts w:asciiTheme="majorBidi" w:hAnsiTheme="majorBidi" w:cstheme="majorBidi"/>
          <w:noProof/>
          <w:sz w:val="24"/>
          <w:szCs w:val="24"/>
          <w:lang w:eastAsia="lv-LV"/>
        </w:rPr>
      </w:pPr>
      <w:r w:rsidRPr="003B48D5">
        <w:rPr>
          <w:rFonts w:asciiTheme="majorBidi" w:hAnsiTheme="majorBidi" w:cstheme="majorBidi"/>
          <w:noProof/>
          <w:sz w:val="24"/>
          <w:szCs w:val="24"/>
          <w:lang w:eastAsia="lv-LV"/>
        </w:rPr>
        <w:t>nekādā gadījumā neglabāt lietošanai nederīgas vakcīnas, tai skaitā pēc derīguma termiņa beigām, kopā ar lietošanai derīgām vakcīnām (konstatējot tādas vakcīnas, tās steidzami izņemt no ledusskapja un apzīmēt kā lietošanai nederīgas);</w:t>
      </w:r>
    </w:p>
    <w:p w:rsidR="004F3461" w:rsidRPr="003B48D5" w:rsidRDefault="00000000" w:rsidP="003B48D5">
      <w:pPr>
        <w:pStyle w:val="Sarakstarindkopa"/>
        <w:numPr>
          <w:ilvl w:val="0"/>
          <w:numId w:val="10"/>
        </w:numPr>
        <w:tabs>
          <w:tab w:val="left" w:pos="1134"/>
        </w:tabs>
        <w:ind w:left="990" w:hanging="270"/>
        <w:jc w:val="both"/>
        <w:rPr>
          <w:rFonts w:asciiTheme="majorBidi" w:hAnsiTheme="majorBidi" w:cstheme="majorBidi"/>
          <w:noProof/>
          <w:sz w:val="24"/>
          <w:szCs w:val="24"/>
          <w:lang w:eastAsia="lv-LV"/>
        </w:rPr>
      </w:pPr>
      <w:r w:rsidRPr="003B48D5">
        <w:rPr>
          <w:rFonts w:asciiTheme="majorBidi" w:hAnsiTheme="majorBidi" w:cstheme="majorBidi"/>
          <w:noProof/>
          <w:sz w:val="24"/>
          <w:szCs w:val="24"/>
          <w:lang w:eastAsia="lv-LV"/>
        </w:rPr>
        <w:t xml:space="preserve">uzglabāt vakcīnas tā, lai nodrošinātu brīvu gaisa cirkulāciju, kā arī nodrošināt, ka visas ledusskapī esošās vakcīnas būtu viegli redzamas un pieejamas. </w:t>
      </w:r>
    </w:p>
    <w:p w:rsidR="004F3461" w:rsidRPr="004F3461" w:rsidRDefault="00000000" w:rsidP="004F3461">
      <w:pPr>
        <w:tabs>
          <w:tab w:val="left" w:pos="1134"/>
        </w:tabs>
        <w:ind w:firstLine="720"/>
        <w:jc w:val="both"/>
        <w:rPr>
          <w:noProof/>
          <w:sz w:val="24"/>
          <w:szCs w:val="24"/>
          <w:lang w:eastAsia="lv-LV"/>
        </w:rPr>
      </w:pPr>
      <w:r w:rsidRPr="004F3461">
        <w:rPr>
          <w:noProof/>
          <w:sz w:val="24"/>
          <w:szCs w:val="24"/>
          <w:lang w:eastAsia="lv-LV"/>
        </w:rPr>
        <w:t xml:space="preserve">Lai aktualizētu iepriekš minēto pasākumu ieviešanu, Centrs aicina ikvienu vakcinācijas veicēju pēc iespējas ātrāk, bet ne vēlāk kā līdz šī gada 1. aprīlim, pārbaudīt ledusskapjos esošo vakcīnu un šļirču derīguma termiņus un veikt lietošanai nederīgo vakcīnu norakstīšanu atbilstoši normatīvo aktu prasībām. Centrs atgādina, ka vakcinācijas iestādes pienākums ir piecu darbdienu laikā, konstatējot, ka vakcīna, kas iegādāta par valsts budžeta līdzekļiem, nav derīga lietošanai, sniegt informāciju par tās norakstīšanu vienotajā veselības nozares elektroniskajā informācijas sistēmā, norādot iestādes kodu, nosaukumu, filiāli, preparāta nosaukumu, sērijas numuru, derīguma termiņu, norakstīšanas vai atdošanas atpakaļ iemeslu un datumu. </w:t>
      </w:r>
    </w:p>
    <w:p w:rsidR="004F3461" w:rsidRPr="004F3461" w:rsidRDefault="00000000" w:rsidP="004F3461">
      <w:pPr>
        <w:tabs>
          <w:tab w:val="left" w:pos="1134"/>
        </w:tabs>
        <w:ind w:firstLine="720"/>
        <w:jc w:val="both"/>
        <w:rPr>
          <w:noProof/>
          <w:sz w:val="24"/>
          <w:szCs w:val="24"/>
          <w:lang w:eastAsia="lv-LV"/>
        </w:rPr>
      </w:pPr>
      <w:r w:rsidRPr="004F3461">
        <w:rPr>
          <w:noProof/>
          <w:sz w:val="24"/>
          <w:szCs w:val="24"/>
          <w:lang w:eastAsia="lv-LV"/>
        </w:rPr>
        <w:t>2000. gada 26. septembra Ministru kabineta noteikumi Nr. 330 “Vakcinācijas notiekumi) (turpmāk – MK noteikumi Nr. 330) nosaka pienākumu katrai vakcinācijas iestādei ne retāk kā reizi mēnesī aktualizēt datus par vakcīnu krājumiem un nodrošināt datu atbilstību e-veselībā un reāli ledusskapī. Lai nepārprotami nodrošinātu arī izpratni par nepieciešamību sekot līdzi vakcīnu derīguma termiņiem, Veselības ministrija plāno veikt grozījumus MK noteikumos Nr. 330, papildinot tos arī ar pienākumu ne retāk kā reizi mēnesī pārbaudīt  krājumos esošo vakcīnu derīgumu.</w:t>
      </w:r>
    </w:p>
    <w:p w:rsidR="003B48D5" w:rsidRDefault="00000000" w:rsidP="004B09AC">
      <w:pPr>
        <w:tabs>
          <w:tab w:val="left" w:pos="1134"/>
        </w:tabs>
        <w:ind w:firstLine="720"/>
        <w:jc w:val="both"/>
        <w:rPr>
          <w:noProof/>
          <w:sz w:val="24"/>
          <w:szCs w:val="24"/>
          <w:lang w:eastAsia="lv-LV"/>
        </w:rPr>
      </w:pPr>
      <w:r w:rsidRPr="004F3461">
        <w:rPr>
          <w:noProof/>
          <w:sz w:val="24"/>
          <w:szCs w:val="24"/>
          <w:lang w:eastAsia="lv-LV"/>
        </w:rPr>
        <w:t xml:space="preserve">Lūdzam izplatīt šo informāciju Jūsu asociāciju biedriem, līgumpartneriem un atbildīgām personām. </w:t>
      </w:r>
    </w:p>
    <w:p w:rsidR="00477923" w:rsidRPr="003F6412" w:rsidRDefault="00000000" w:rsidP="00784C77">
      <w:pPr>
        <w:tabs>
          <w:tab w:val="left" w:pos="6804"/>
        </w:tabs>
        <w:spacing w:before="480" w:after="480"/>
        <w:jc w:val="both"/>
        <w:rPr>
          <w:sz w:val="24"/>
          <w:szCs w:val="24"/>
        </w:rPr>
      </w:pPr>
      <w:r w:rsidRPr="003F6412">
        <w:rPr>
          <w:sz w:val="24"/>
          <w:szCs w:val="24"/>
        </w:rPr>
        <w:t>Direktor</w:t>
      </w:r>
      <w:r w:rsidR="00172A3B">
        <w:rPr>
          <w:sz w:val="24"/>
          <w:szCs w:val="24"/>
        </w:rPr>
        <w:t>s</w:t>
      </w:r>
      <w:r w:rsidRPr="003F6412">
        <w:rPr>
          <w:sz w:val="24"/>
          <w:szCs w:val="24"/>
        </w:rPr>
        <w:tab/>
      </w:r>
      <w:r w:rsidRPr="003F6412">
        <w:rPr>
          <w:noProof/>
          <w:sz w:val="24"/>
          <w:szCs w:val="24"/>
          <w:lang w:eastAsia="lv-LV"/>
        </w:rPr>
        <w:t>Mārtiņš Dimants</w:t>
      </w:r>
    </w:p>
    <w:p w:rsidR="002079F2" w:rsidRDefault="00000000" w:rsidP="002079F2">
      <w:pPr>
        <w:pStyle w:val="BodyB"/>
        <w:rPr>
          <w:sz w:val="20"/>
        </w:rPr>
      </w:pPr>
      <w:r>
        <w:rPr>
          <w:noProof/>
          <w:sz w:val="20"/>
        </w:rPr>
        <w:t>Ieva Rimšāne</w:t>
      </w:r>
      <w:r>
        <w:rPr>
          <w:sz w:val="20"/>
        </w:rPr>
        <w:t xml:space="preserve"> </w:t>
      </w:r>
      <w:r>
        <w:rPr>
          <w:noProof/>
          <w:sz w:val="20"/>
        </w:rPr>
        <w:t>67081520</w:t>
      </w:r>
    </w:p>
    <w:p w:rsidR="00A91007" w:rsidRPr="00A91007" w:rsidRDefault="00000000" w:rsidP="00477923">
      <w:pPr>
        <w:pStyle w:val="BodyB"/>
      </w:pPr>
      <w:r>
        <w:rPr>
          <w:noProof/>
          <w:sz w:val="20"/>
        </w:rPr>
        <w:t>ieva.rimsane@spkc.gov.lv</w:t>
      </w:r>
    </w:p>
    <w:sectPr w:rsidR="00A91007" w:rsidRPr="00A91007" w:rsidSect="008C265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73F" w:rsidRDefault="0064273F">
      <w:r>
        <w:separator/>
      </w:r>
    </w:p>
  </w:endnote>
  <w:endnote w:type="continuationSeparator" w:id="0">
    <w:p w:rsidR="0064273F" w:rsidRDefault="0064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4B" w:rsidRDefault="00000000" w:rsidP="00F84E4B">
    <w:pPr>
      <w:pStyle w:val="Kjene"/>
      <w:jc w:val="center"/>
    </w:pPr>
    <w:r w:rsidRPr="001B3C4F">
      <w:t>DOKUMENTS PARAKSTĪTS ELEKTRONISKI AR DROŠU ELEKTRONISKO PARAKSTU</w:t>
    </w:r>
  </w:p>
  <w:p w:rsidR="00CD015F" w:rsidRDefault="00000000" w:rsidP="00F84E4B">
    <w:pPr>
      <w:pStyle w:val="Kjene"/>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73F" w:rsidRDefault="0064273F">
      <w:r>
        <w:separator/>
      </w:r>
    </w:p>
  </w:footnote>
  <w:footnote w:type="continuationSeparator" w:id="0">
    <w:p w:rsidR="0064273F" w:rsidRDefault="00642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A3D"/>
    <w:multiLevelType w:val="multilevel"/>
    <w:tmpl w:val="E528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E6784"/>
    <w:multiLevelType w:val="multilevel"/>
    <w:tmpl w:val="24CC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504EA"/>
    <w:multiLevelType w:val="hybridMultilevel"/>
    <w:tmpl w:val="7A36F822"/>
    <w:lvl w:ilvl="0" w:tplc="8D5476B2">
      <w:start w:val="1"/>
      <w:numFmt w:val="bullet"/>
      <w:lvlText w:val=""/>
      <w:lvlJc w:val="left"/>
      <w:pPr>
        <w:ind w:left="1440" w:hanging="360"/>
      </w:pPr>
      <w:rPr>
        <w:rFonts w:ascii="Symbol" w:hAnsi="Symbol" w:hint="default"/>
      </w:rPr>
    </w:lvl>
    <w:lvl w:ilvl="1" w:tplc="29888BD6" w:tentative="1">
      <w:start w:val="1"/>
      <w:numFmt w:val="bullet"/>
      <w:lvlText w:val="o"/>
      <w:lvlJc w:val="left"/>
      <w:pPr>
        <w:ind w:left="2160" w:hanging="360"/>
      </w:pPr>
      <w:rPr>
        <w:rFonts w:ascii="Courier New" w:hAnsi="Courier New" w:cs="Courier New" w:hint="default"/>
      </w:rPr>
    </w:lvl>
    <w:lvl w:ilvl="2" w:tplc="2A4046E0" w:tentative="1">
      <w:start w:val="1"/>
      <w:numFmt w:val="bullet"/>
      <w:lvlText w:val=""/>
      <w:lvlJc w:val="left"/>
      <w:pPr>
        <w:ind w:left="2880" w:hanging="360"/>
      </w:pPr>
      <w:rPr>
        <w:rFonts w:ascii="Wingdings" w:hAnsi="Wingdings" w:hint="default"/>
      </w:rPr>
    </w:lvl>
    <w:lvl w:ilvl="3" w:tplc="8F902BB2" w:tentative="1">
      <w:start w:val="1"/>
      <w:numFmt w:val="bullet"/>
      <w:lvlText w:val=""/>
      <w:lvlJc w:val="left"/>
      <w:pPr>
        <w:ind w:left="3600" w:hanging="360"/>
      </w:pPr>
      <w:rPr>
        <w:rFonts w:ascii="Symbol" w:hAnsi="Symbol" w:hint="default"/>
      </w:rPr>
    </w:lvl>
    <w:lvl w:ilvl="4" w:tplc="BF84C69C" w:tentative="1">
      <w:start w:val="1"/>
      <w:numFmt w:val="bullet"/>
      <w:lvlText w:val="o"/>
      <w:lvlJc w:val="left"/>
      <w:pPr>
        <w:ind w:left="4320" w:hanging="360"/>
      </w:pPr>
      <w:rPr>
        <w:rFonts w:ascii="Courier New" w:hAnsi="Courier New" w:cs="Courier New" w:hint="default"/>
      </w:rPr>
    </w:lvl>
    <w:lvl w:ilvl="5" w:tplc="CC98A22E" w:tentative="1">
      <w:start w:val="1"/>
      <w:numFmt w:val="bullet"/>
      <w:lvlText w:val=""/>
      <w:lvlJc w:val="left"/>
      <w:pPr>
        <w:ind w:left="5040" w:hanging="360"/>
      </w:pPr>
      <w:rPr>
        <w:rFonts w:ascii="Wingdings" w:hAnsi="Wingdings" w:hint="default"/>
      </w:rPr>
    </w:lvl>
    <w:lvl w:ilvl="6" w:tplc="47FCEB74" w:tentative="1">
      <w:start w:val="1"/>
      <w:numFmt w:val="bullet"/>
      <w:lvlText w:val=""/>
      <w:lvlJc w:val="left"/>
      <w:pPr>
        <w:ind w:left="5760" w:hanging="360"/>
      </w:pPr>
      <w:rPr>
        <w:rFonts w:ascii="Symbol" w:hAnsi="Symbol" w:hint="default"/>
      </w:rPr>
    </w:lvl>
    <w:lvl w:ilvl="7" w:tplc="50E6104C" w:tentative="1">
      <w:start w:val="1"/>
      <w:numFmt w:val="bullet"/>
      <w:lvlText w:val="o"/>
      <w:lvlJc w:val="left"/>
      <w:pPr>
        <w:ind w:left="6480" w:hanging="360"/>
      </w:pPr>
      <w:rPr>
        <w:rFonts w:ascii="Courier New" w:hAnsi="Courier New" w:cs="Courier New" w:hint="default"/>
      </w:rPr>
    </w:lvl>
    <w:lvl w:ilvl="8" w:tplc="851AD956" w:tentative="1">
      <w:start w:val="1"/>
      <w:numFmt w:val="bullet"/>
      <w:lvlText w:val=""/>
      <w:lvlJc w:val="left"/>
      <w:pPr>
        <w:ind w:left="7200" w:hanging="360"/>
      </w:pPr>
      <w:rPr>
        <w:rFonts w:ascii="Wingdings" w:hAnsi="Wingdings" w:hint="default"/>
      </w:rPr>
    </w:lvl>
  </w:abstractNum>
  <w:abstractNum w:abstractNumId="3" w15:restartNumberingAfterBreak="0">
    <w:nsid w:val="0FF96894"/>
    <w:multiLevelType w:val="multilevel"/>
    <w:tmpl w:val="61B8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F31F1"/>
    <w:multiLevelType w:val="multilevel"/>
    <w:tmpl w:val="3E74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4A6970"/>
    <w:multiLevelType w:val="multilevel"/>
    <w:tmpl w:val="5AB6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28335E"/>
    <w:multiLevelType w:val="hybridMultilevel"/>
    <w:tmpl w:val="9D36A7C2"/>
    <w:lvl w:ilvl="0" w:tplc="E0C6C81C">
      <w:start w:val="1"/>
      <w:numFmt w:val="decimal"/>
      <w:lvlText w:val="%1."/>
      <w:lvlJc w:val="left"/>
      <w:pPr>
        <w:ind w:left="1080" w:hanging="360"/>
      </w:pPr>
      <w:rPr>
        <w:rFonts w:hint="default"/>
      </w:rPr>
    </w:lvl>
    <w:lvl w:ilvl="1" w:tplc="85080344" w:tentative="1">
      <w:start w:val="1"/>
      <w:numFmt w:val="lowerLetter"/>
      <w:lvlText w:val="%2."/>
      <w:lvlJc w:val="left"/>
      <w:pPr>
        <w:ind w:left="1800" w:hanging="360"/>
      </w:pPr>
    </w:lvl>
    <w:lvl w:ilvl="2" w:tplc="C7D23F90" w:tentative="1">
      <w:start w:val="1"/>
      <w:numFmt w:val="lowerRoman"/>
      <w:lvlText w:val="%3."/>
      <w:lvlJc w:val="right"/>
      <w:pPr>
        <w:ind w:left="2520" w:hanging="180"/>
      </w:pPr>
    </w:lvl>
    <w:lvl w:ilvl="3" w:tplc="E378EFC8" w:tentative="1">
      <w:start w:val="1"/>
      <w:numFmt w:val="decimal"/>
      <w:lvlText w:val="%4."/>
      <w:lvlJc w:val="left"/>
      <w:pPr>
        <w:ind w:left="3240" w:hanging="360"/>
      </w:pPr>
    </w:lvl>
    <w:lvl w:ilvl="4" w:tplc="5FE43D3C" w:tentative="1">
      <w:start w:val="1"/>
      <w:numFmt w:val="lowerLetter"/>
      <w:lvlText w:val="%5."/>
      <w:lvlJc w:val="left"/>
      <w:pPr>
        <w:ind w:left="3960" w:hanging="360"/>
      </w:pPr>
    </w:lvl>
    <w:lvl w:ilvl="5" w:tplc="B04027A0" w:tentative="1">
      <w:start w:val="1"/>
      <w:numFmt w:val="lowerRoman"/>
      <w:lvlText w:val="%6."/>
      <w:lvlJc w:val="right"/>
      <w:pPr>
        <w:ind w:left="4680" w:hanging="180"/>
      </w:pPr>
    </w:lvl>
    <w:lvl w:ilvl="6" w:tplc="912A761A" w:tentative="1">
      <w:start w:val="1"/>
      <w:numFmt w:val="decimal"/>
      <w:lvlText w:val="%7."/>
      <w:lvlJc w:val="left"/>
      <w:pPr>
        <w:ind w:left="5400" w:hanging="360"/>
      </w:pPr>
    </w:lvl>
    <w:lvl w:ilvl="7" w:tplc="27C0610A" w:tentative="1">
      <w:start w:val="1"/>
      <w:numFmt w:val="lowerLetter"/>
      <w:lvlText w:val="%8."/>
      <w:lvlJc w:val="left"/>
      <w:pPr>
        <w:ind w:left="6120" w:hanging="360"/>
      </w:pPr>
    </w:lvl>
    <w:lvl w:ilvl="8" w:tplc="10DAD584" w:tentative="1">
      <w:start w:val="1"/>
      <w:numFmt w:val="lowerRoman"/>
      <w:lvlText w:val="%9."/>
      <w:lvlJc w:val="right"/>
      <w:pPr>
        <w:ind w:left="6840" w:hanging="180"/>
      </w:pPr>
    </w:lvl>
  </w:abstractNum>
  <w:abstractNum w:abstractNumId="7" w15:restartNumberingAfterBreak="0">
    <w:nsid w:val="6F776723"/>
    <w:multiLevelType w:val="hybridMultilevel"/>
    <w:tmpl w:val="75C4787A"/>
    <w:lvl w:ilvl="0" w:tplc="A9383676">
      <w:start w:val="1"/>
      <w:numFmt w:val="decimal"/>
      <w:lvlText w:val="%1."/>
      <w:lvlJc w:val="left"/>
      <w:pPr>
        <w:ind w:left="720" w:hanging="360"/>
      </w:pPr>
      <w:rPr>
        <w:rFonts w:hint="default"/>
      </w:rPr>
    </w:lvl>
    <w:lvl w:ilvl="1" w:tplc="CC7660E8">
      <w:start w:val="1"/>
      <w:numFmt w:val="lowerLetter"/>
      <w:lvlText w:val="%2."/>
      <w:lvlJc w:val="left"/>
      <w:pPr>
        <w:ind w:left="1440" w:hanging="360"/>
      </w:pPr>
    </w:lvl>
    <w:lvl w:ilvl="2" w:tplc="F86E273A" w:tentative="1">
      <w:start w:val="1"/>
      <w:numFmt w:val="lowerRoman"/>
      <w:lvlText w:val="%3."/>
      <w:lvlJc w:val="right"/>
      <w:pPr>
        <w:ind w:left="2160" w:hanging="180"/>
      </w:pPr>
    </w:lvl>
    <w:lvl w:ilvl="3" w:tplc="35C64E9C" w:tentative="1">
      <w:start w:val="1"/>
      <w:numFmt w:val="decimal"/>
      <w:lvlText w:val="%4."/>
      <w:lvlJc w:val="left"/>
      <w:pPr>
        <w:ind w:left="2880" w:hanging="360"/>
      </w:pPr>
    </w:lvl>
    <w:lvl w:ilvl="4" w:tplc="3B2A201E" w:tentative="1">
      <w:start w:val="1"/>
      <w:numFmt w:val="lowerLetter"/>
      <w:lvlText w:val="%5."/>
      <w:lvlJc w:val="left"/>
      <w:pPr>
        <w:ind w:left="3600" w:hanging="360"/>
      </w:pPr>
    </w:lvl>
    <w:lvl w:ilvl="5" w:tplc="73CCDEA8" w:tentative="1">
      <w:start w:val="1"/>
      <w:numFmt w:val="lowerRoman"/>
      <w:lvlText w:val="%6."/>
      <w:lvlJc w:val="right"/>
      <w:pPr>
        <w:ind w:left="4320" w:hanging="180"/>
      </w:pPr>
    </w:lvl>
    <w:lvl w:ilvl="6" w:tplc="655A9EA2" w:tentative="1">
      <w:start w:val="1"/>
      <w:numFmt w:val="decimal"/>
      <w:lvlText w:val="%7."/>
      <w:lvlJc w:val="left"/>
      <w:pPr>
        <w:ind w:left="5040" w:hanging="360"/>
      </w:pPr>
    </w:lvl>
    <w:lvl w:ilvl="7" w:tplc="141E2220" w:tentative="1">
      <w:start w:val="1"/>
      <w:numFmt w:val="lowerLetter"/>
      <w:lvlText w:val="%8."/>
      <w:lvlJc w:val="left"/>
      <w:pPr>
        <w:ind w:left="5760" w:hanging="360"/>
      </w:pPr>
    </w:lvl>
    <w:lvl w:ilvl="8" w:tplc="B1F6C2EE" w:tentative="1">
      <w:start w:val="1"/>
      <w:numFmt w:val="lowerRoman"/>
      <w:lvlText w:val="%9."/>
      <w:lvlJc w:val="right"/>
      <w:pPr>
        <w:ind w:left="6480" w:hanging="180"/>
      </w:pPr>
    </w:lvl>
  </w:abstractNum>
  <w:abstractNum w:abstractNumId="8" w15:restartNumberingAfterBreak="0">
    <w:nsid w:val="708040DD"/>
    <w:multiLevelType w:val="multilevel"/>
    <w:tmpl w:val="38F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9D7DE0"/>
    <w:multiLevelType w:val="multilevel"/>
    <w:tmpl w:val="B462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7"/>
  </w:num>
  <w:num w:numId="2" w16cid:durableId="619871805">
    <w:abstractNumId w:val="10"/>
  </w:num>
  <w:num w:numId="3" w16cid:durableId="1033848637">
    <w:abstractNumId w:val="3"/>
  </w:num>
  <w:num w:numId="4" w16cid:durableId="1340086943">
    <w:abstractNumId w:val="8"/>
  </w:num>
  <w:num w:numId="5" w16cid:durableId="890194558">
    <w:abstractNumId w:val="5"/>
  </w:num>
  <w:num w:numId="6" w16cid:durableId="832572288">
    <w:abstractNumId w:val="9"/>
  </w:num>
  <w:num w:numId="7" w16cid:durableId="1911844101">
    <w:abstractNumId w:val="1"/>
  </w:num>
  <w:num w:numId="8" w16cid:durableId="876434064">
    <w:abstractNumId w:val="4"/>
  </w:num>
  <w:num w:numId="9" w16cid:durableId="1699810853">
    <w:abstractNumId w:val="0"/>
  </w:num>
  <w:num w:numId="10" w16cid:durableId="1069764673">
    <w:abstractNumId w:val="2"/>
  </w:num>
  <w:num w:numId="11" w16cid:durableId="316812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41942"/>
    <w:rsid w:val="000D65D1"/>
    <w:rsid w:val="00112C48"/>
    <w:rsid w:val="00154B6E"/>
    <w:rsid w:val="00172A3B"/>
    <w:rsid w:val="00195A3A"/>
    <w:rsid w:val="001963C5"/>
    <w:rsid w:val="001B3C4F"/>
    <w:rsid w:val="001F3DE1"/>
    <w:rsid w:val="002079F2"/>
    <w:rsid w:val="00222B8B"/>
    <w:rsid w:val="00237C47"/>
    <w:rsid w:val="00247E9C"/>
    <w:rsid w:val="00280BAC"/>
    <w:rsid w:val="00376EF5"/>
    <w:rsid w:val="003A5E2C"/>
    <w:rsid w:val="003B48D5"/>
    <w:rsid w:val="003E7BBE"/>
    <w:rsid w:val="003F2940"/>
    <w:rsid w:val="003F6412"/>
    <w:rsid w:val="00415D28"/>
    <w:rsid w:val="00443D6E"/>
    <w:rsid w:val="004568DF"/>
    <w:rsid w:val="00456D43"/>
    <w:rsid w:val="00477923"/>
    <w:rsid w:val="00480BD0"/>
    <w:rsid w:val="004A063D"/>
    <w:rsid w:val="004B09AC"/>
    <w:rsid w:val="004F33CD"/>
    <w:rsid w:val="004F3461"/>
    <w:rsid w:val="00505CA0"/>
    <w:rsid w:val="005249D9"/>
    <w:rsid w:val="00535351"/>
    <w:rsid w:val="0055269A"/>
    <w:rsid w:val="005603D1"/>
    <w:rsid w:val="00587CC8"/>
    <w:rsid w:val="005D307A"/>
    <w:rsid w:val="005D3E87"/>
    <w:rsid w:val="0064273F"/>
    <w:rsid w:val="006765DF"/>
    <w:rsid w:val="006A3E8D"/>
    <w:rsid w:val="006D3FD6"/>
    <w:rsid w:val="006F3C0C"/>
    <w:rsid w:val="007322A6"/>
    <w:rsid w:val="007454FB"/>
    <w:rsid w:val="00755E93"/>
    <w:rsid w:val="00784C77"/>
    <w:rsid w:val="007906BB"/>
    <w:rsid w:val="00893003"/>
    <w:rsid w:val="008B15BC"/>
    <w:rsid w:val="008B6D06"/>
    <w:rsid w:val="008B742D"/>
    <w:rsid w:val="008B7E69"/>
    <w:rsid w:val="008C265B"/>
    <w:rsid w:val="00987215"/>
    <w:rsid w:val="00994AA3"/>
    <w:rsid w:val="009C064E"/>
    <w:rsid w:val="009E26F3"/>
    <w:rsid w:val="00A12E8C"/>
    <w:rsid w:val="00A23AAC"/>
    <w:rsid w:val="00A24A6B"/>
    <w:rsid w:val="00A277B8"/>
    <w:rsid w:val="00A47E36"/>
    <w:rsid w:val="00A91007"/>
    <w:rsid w:val="00B05611"/>
    <w:rsid w:val="00B16961"/>
    <w:rsid w:val="00B86B76"/>
    <w:rsid w:val="00B908DB"/>
    <w:rsid w:val="00BE7124"/>
    <w:rsid w:val="00BF3D96"/>
    <w:rsid w:val="00C12D6E"/>
    <w:rsid w:val="00C4438A"/>
    <w:rsid w:val="00C92245"/>
    <w:rsid w:val="00CA27BF"/>
    <w:rsid w:val="00CB2202"/>
    <w:rsid w:val="00CB77F0"/>
    <w:rsid w:val="00CC1A82"/>
    <w:rsid w:val="00CC4F90"/>
    <w:rsid w:val="00CD015F"/>
    <w:rsid w:val="00D12650"/>
    <w:rsid w:val="00D239F1"/>
    <w:rsid w:val="00D5053F"/>
    <w:rsid w:val="00D831E1"/>
    <w:rsid w:val="00D92D62"/>
    <w:rsid w:val="00DC0153"/>
    <w:rsid w:val="00DC1881"/>
    <w:rsid w:val="00DD648C"/>
    <w:rsid w:val="00DE33E0"/>
    <w:rsid w:val="00E029CF"/>
    <w:rsid w:val="00E10BEB"/>
    <w:rsid w:val="00E33119"/>
    <w:rsid w:val="00E402D8"/>
    <w:rsid w:val="00E46716"/>
    <w:rsid w:val="00E46A48"/>
    <w:rsid w:val="00E55896"/>
    <w:rsid w:val="00E92ACC"/>
    <w:rsid w:val="00EC6B3B"/>
    <w:rsid w:val="00ED28C3"/>
    <w:rsid w:val="00EE1156"/>
    <w:rsid w:val="00EE4551"/>
    <w:rsid w:val="00EE7EE5"/>
    <w:rsid w:val="00F37480"/>
    <w:rsid w:val="00F84E4B"/>
    <w:rsid w:val="00FB54D0"/>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32F5"/>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4A6B"/>
    <w:rPr>
      <w:rFonts w:eastAsia="Times New Roman"/>
      <w:lang w:eastAsia="en-US"/>
    </w:rPr>
  </w:style>
  <w:style w:type="paragraph" w:styleId="Virsraksts1">
    <w:name w:val="heading 1"/>
    <w:basedOn w:val="Parasts"/>
    <w:next w:val="Parasts"/>
    <w:link w:val="Virsraksts1Rakstz"/>
    <w:uiPriority w:val="9"/>
    <w:qFormat/>
    <w:rsid w:val="00994AA3"/>
    <w:pPr>
      <w:keepNext/>
      <w:jc w:val="center"/>
      <w:outlineLvl w:val="0"/>
    </w:pPr>
    <w:rPr>
      <w:b/>
      <w:bCs/>
    </w:rPr>
  </w:style>
  <w:style w:type="paragraph" w:styleId="Virsraksts2">
    <w:name w:val="heading 2"/>
    <w:basedOn w:val="Parasts"/>
    <w:next w:val="Parasts"/>
    <w:link w:val="Virsraksts2Rakstz"/>
    <w:qFormat/>
    <w:rsid w:val="00994AA3"/>
    <w:pPr>
      <w:keepNext/>
      <w:tabs>
        <w:tab w:val="num" w:pos="495"/>
      </w:tabs>
      <w:ind w:left="495" w:hanging="495"/>
      <w:outlineLvl w:val="1"/>
    </w:pPr>
    <w:rPr>
      <w:b/>
    </w:rPr>
  </w:style>
  <w:style w:type="paragraph" w:styleId="Virsraksts3">
    <w:name w:val="heading 3"/>
    <w:basedOn w:val="Parasts"/>
    <w:next w:val="Parasts"/>
    <w:link w:val="Virsraksts3Rakstz"/>
    <w:qFormat/>
    <w:rsid w:val="00994AA3"/>
    <w:pPr>
      <w:keepNext/>
      <w:outlineLvl w:val="2"/>
    </w:pPr>
    <w:rPr>
      <w:b/>
      <w:color w:val="FF0000"/>
      <w:sz w:val="44"/>
    </w:rPr>
  </w:style>
  <w:style w:type="paragraph" w:styleId="Virsraksts4">
    <w:name w:val="heading 4"/>
    <w:basedOn w:val="Parasts"/>
    <w:link w:val="Virsraksts4Rakstz"/>
    <w:uiPriority w:val="9"/>
    <w:qFormat/>
    <w:rsid w:val="00994AA3"/>
    <w:pPr>
      <w:spacing w:before="100" w:beforeAutospacing="1" w:after="100" w:afterAutospacing="1"/>
      <w:outlineLvl w:val="3"/>
    </w:pPr>
    <w:rPr>
      <w:b/>
      <w:bCs/>
    </w:rPr>
  </w:style>
  <w:style w:type="paragraph" w:styleId="Virsraksts5">
    <w:name w:val="heading 5"/>
    <w:basedOn w:val="Parasts"/>
    <w:next w:val="Parasts"/>
    <w:link w:val="Virsraksts5Rakstz"/>
    <w:uiPriority w:val="9"/>
    <w:qFormat/>
    <w:rsid w:val="00994AA3"/>
    <w:pPr>
      <w:spacing w:before="240" w:after="60"/>
      <w:outlineLvl w:val="4"/>
    </w:pPr>
    <w:rPr>
      <w:rFonts w:ascii="Calibri" w:hAnsi="Calibri"/>
      <w:b/>
      <w:bCs/>
      <w:i/>
      <w:iCs/>
      <w:sz w:val="26"/>
      <w:szCs w:val="26"/>
      <w:lang w:val="en-AU"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4AA3"/>
    <w:rPr>
      <w:b/>
      <w:bCs/>
      <w:sz w:val="24"/>
      <w:szCs w:val="24"/>
    </w:rPr>
  </w:style>
  <w:style w:type="character" w:customStyle="1" w:styleId="Virsraksts2Rakstz">
    <w:name w:val="Virsraksts 2 Rakstz."/>
    <w:link w:val="Virsraksts2"/>
    <w:rsid w:val="00994AA3"/>
    <w:rPr>
      <w:b/>
      <w:sz w:val="24"/>
    </w:rPr>
  </w:style>
  <w:style w:type="character" w:customStyle="1" w:styleId="Virsraksts3Rakstz">
    <w:name w:val="Virsraksts 3 Rakstz."/>
    <w:link w:val="Virsraksts3"/>
    <w:rsid w:val="00994AA3"/>
    <w:rPr>
      <w:b/>
      <w:color w:val="FF0000"/>
      <w:sz w:val="44"/>
    </w:rPr>
  </w:style>
  <w:style w:type="character" w:customStyle="1" w:styleId="Virsraksts4Rakstz">
    <w:name w:val="Virsraksts 4 Rakstz."/>
    <w:link w:val="Virsraksts4"/>
    <w:uiPriority w:val="9"/>
    <w:rsid w:val="00994AA3"/>
    <w:rPr>
      <w:b/>
      <w:bCs/>
      <w:sz w:val="24"/>
      <w:szCs w:val="24"/>
    </w:rPr>
  </w:style>
  <w:style w:type="character" w:customStyle="1" w:styleId="Virsraksts5Rakstz">
    <w:name w:val="Virsraksts 5 Rakstz."/>
    <w:link w:val="Virsraksts5"/>
    <w:uiPriority w:val="9"/>
    <w:rsid w:val="00994AA3"/>
    <w:rPr>
      <w:rFonts w:ascii="Calibri" w:hAnsi="Calibri"/>
      <w:b/>
      <w:bCs/>
      <w:i/>
      <w:iCs/>
      <w:sz w:val="26"/>
      <w:szCs w:val="26"/>
      <w:lang w:val="en-AU" w:eastAsia="x-none"/>
    </w:rPr>
  </w:style>
  <w:style w:type="paragraph" w:styleId="Bezatstarpm">
    <w:name w:val="No Spacing"/>
    <w:uiPriority w:val="1"/>
    <w:qFormat/>
    <w:rsid w:val="00994AA3"/>
    <w:rPr>
      <w:rFonts w:ascii="Calibri" w:hAnsi="Calibri"/>
      <w:sz w:val="22"/>
      <w:szCs w:val="22"/>
      <w:lang w:eastAsia="en-US"/>
    </w:rPr>
  </w:style>
  <w:style w:type="paragraph" w:styleId="Sarakstarindkopa">
    <w:name w:val="List Paragraph"/>
    <w:basedOn w:val="Parasts"/>
    <w:uiPriority w:val="34"/>
    <w:qFormat/>
    <w:rsid w:val="00994AA3"/>
    <w:pPr>
      <w:spacing w:after="200" w:line="276" w:lineRule="auto"/>
      <w:ind w:left="720"/>
      <w:contextualSpacing/>
    </w:pPr>
    <w:rPr>
      <w:rFonts w:ascii="Calibri" w:hAnsi="Calibri"/>
      <w:sz w:val="22"/>
      <w:szCs w:val="22"/>
    </w:rPr>
  </w:style>
  <w:style w:type="paragraph" w:styleId="Citts">
    <w:name w:val="Quote"/>
    <w:basedOn w:val="Parasts"/>
    <w:next w:val="Parasts"/>
    <w:link w:val="CittsRakstz"/>
    <w:uiPriority w:val="29"/>
    <w:qFormat/>
    <w:rsid w:val="00994AA3"/>
    <w:rPr>
      <w:i/>
      <w:sz w:val="28"/>
      <w:szCs w:val="28"/>
    </w:rPr>
  </w:style>
  <w:style w:type="character" w:customStyle="1" w:styleId="CittsRakstz">
    <w:name w:val="Citāts Rakstz."/>
    <w:link w:val="Citts"/>
    <w:uiPriority w:val="29"/>
    <w:rsid w:val="00994AA3"/>
    <w:rPr>
      <w:i/>
      <w:sz w:val="28"/>
      <w:szCs w:val="28"/>
    </w:rPr>
  </w:style>
  <w:style w:type="paragraph" w:styleId="Galvene">
    <w:name w:val="header"/>
    <w:basedOn w:val="Parasts"/>
    <w:link w:val="GalveneRakstz"/>
    <w:rsid w:val="00A24A6B"/>
    <w:pPr>
      <w:tabs>
        <w:tab w:val="center" w:pos="4320"/>
        <w:tab w:val="right" w:pos="8640"/>
      </w:tabs>
    </w:pPr>
    <w:rPr>
      <w:rFonts w:ascii="Arial" w:hAnsi="Arial"/>
      <w:sz w:val="24"/>
    </w:rPr>
  </w:style>
  <w:style w:type="character" w:customStyle="1" w:styleId="GalveneRakstz">
    <w:name w:val="Galvene Rakstz."/>
    <w:link w:val="Galvene"/>
    <w:rsid w:val="00A24A6B"/>
    <w:rPr>
      <w:rFonts w:ascii="Arial" w:eastAsia="Times New Roman" w:hAnsi="Arial"/>
      <w:sz w:val="24"/>
      <w:lang w:eastAsia="en-US"/>
    </w:rPr>
  </w:style>
  <w:style w:type="table" w:styleId="Reatabula">
    <w:name w:val="Table Grid"/>
    <w:basedOn w:val="Parastatabula"/>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D015F"/>
    <w:pPr>
      <w:tabs>
        <w:tab w:val="center" w:pos="4153"/>
        <w:tab w:val="right" w:pos="8306"/>
      </w:tabs>
    </w:pPr>
  </w:style>
  <w:style w:type="character" w:customStyle="1" w:styleId="KjeneRakstz">
    <w:name w:val="Kājene Rakstz."/>
    <w:link w:val="Kjene"/>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Vresteksts">
    <w:name w:val="footnote text"/>
    <w:basedOn w:val="Parasts"/>
    <w:link w:val="VrestekstsRakstz"/>
    <w:uiPriority w:val="99"/>
    <w:semiHidden/>
    <w:unhideWhenUsed/>
    <w:rsid w:val="00A12E8C"/>
  </w:style>
  <w:style w:type="character" w:customStyle="1" w:styleId="VrestekstsRakstz">
    <w:name w:val="Vēres teksts Rakstz."/>
    <w:basedOn w:val="Noklusjumarindkopasfonts"/>
    <w:link w:val="Vresteksts"/>
    <w:uiPriority w:val="99"/>
    <w:semiHidden/>
    <w:rsid w:val="00A12E8C"/>
    <w:rPr>
      <w:rFonts w:eastAsia="Times New Roman"/>
      <w:lang w:eastAsia="en-US"/>
    </w:rPr>
  </w:style>
  <w:style w:type="character" w:styleId="Vresatsauce">
    <w:name w:val="footnote reference"/>
    <w:basedOn w:val="Noklusjumarindkopasfonts"/>
    <w:uiPriority w:val="99"/>
    <w:semiHidden/>
    <w:unhideWhenUsed/>
    <w:rsid w:val="00A12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207D-C1F1-4C19-8F2E-BEC76C8C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0</TotalTime>
  <Pages>1</Pages>
  <Words>2550</Words>
  <Characters>1454</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Sintija Kājiņa</cp:lastModifiedBy>
  <cp:revision>1</cp:revision>
  <cp:lastPrinted>2016-02-15T06:53:00Z</cp:lastPrinted>
  <dcterms:created xsi:type="dcterms:W3CDTF">2025-03-28T13:36:00Z</dcterms:created>
  <dcterms:modified xsi:type="dcterms:W3CDTF">2025-03-28T13:36:00Z</dcterms:modified>
</cp:coreProperties>
</file>