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CBE6" w14:textId="0489E6A6" w:rsidR="002B0EBD" w:rsidRPr="00D63C76" w:rsidRDefault="00006357" w:rsidP="5B89E183">
      <w:pPr>
        <w:jc w:val="center"/>
        <w:rPr>
          <w:b/>
          <w:bCs/>
          <w:sz w:val="24"/>
          <w:szCs w:val="24"/>
        </w:rPr>
      </w:pPr>
      <w:bookmarkStart w:id="0" w:name="_Hlk189731112"/>
      <w:r w:rsidRPr="00D63C76">
        <w:rPr>
          <w:b/>
          <w:bCs/>
          <w:sz w:val="24"/>
          <w:szCs w:val="24"/>
        </w:rPr>
        <w:t xml:space="preserve">Kārtība, kādā </w:t>
      </w:r>
      <w:r w:rsidR="7CAE1A5B" w:rsidRPr="00D63C76">
        <w:rPr>
          <w:b/>
          <w:bCs/>
          <w:sz w:val="24"/>
          <w:szCs w:val="24"/>
        </w:rPr>
        <w:t>Valsts sabiedrība ar ierobežotu atbildību</w:t>
      </w:r>
      <w:r w:rsidRPr="00D63C76">
        <w:rPr>
          <w:b/>
          <w:bCs/>
          <w:sz w:val="24"/>
          <w:szCs w:val="24"/>
        </w:rPr>
        <w:t xml:space="preserve"> „Bērnu klīniskā universitātes slimnīca” un SIA “Rīgas Austrumu klīniskā universitātes slimnīca” no</w:t>
      </w:r>
      <w:r w:rsidR="005F71C4" w:rsidRPr="00D63C76">
        <w:rPr>
          <w:b/>
          <w:bCs/>
          <w:sz w:val="24"/>
          <w:szCs w:val="24"/>
        </w:rPr>
        <w:t>zīmē un koordinē</w:t>
      </w:r>
      <w:r w:rsidRPr="00D63C76">
        <w:rPr>
          <w:b/>
          <w:bCs/>
          <w:sz w:val="24"/>
          <w:szCs w:val="24"/>
        </w:rPr>
        <w:t xml:space="preserve"> ārstniecisk</w:t>
      </w:r>
      <w:r w:rsidR="005F71C4" w:rsidRPr="00D63C76">
        <w:rPr>
          <w:b/>
          <w:bCs/>
          <w:sz w:val="24"/>
          <w:szCs w:val="24"/>
        </w:rPr>
        <w:t>ās</w:t>
      </w:r>
      <w:r w:rsidRPr="00D63C76">
        <w:rPr>
          <w:b/>
          <w:bCs/>
          <w:sz w:val="24"/>
          <w:szCs w:val="24"/>
        </w:rPr>
        <w:t xml:space="preserve"> pārtik</w:t>
      </w:r>
      <w:r w:rsidR="005F71C4" w:rsidRPr="00D63C76">
        <w:rPr>
          <w:b/>
          <w:bCs/>
          <w:sz w:val="24"/>
          <w:szCs w:val="24"/>
        </w:rPr>
        <w:t>as nodrošināšanu</w:t>
      </w:r>
    </w:p>
    <w:bookmarkEnd w:id="0"/>
    <w:p w14:paraId="4D1AF498" w14:textId="77777777" w:rsidR="002B0EBD" w:rsidRPr="00D63C76" w:rsidRDefault="002B0EBD" w:rsidP="00D63C76">
      <w:pPr>
        <w:ind w:left="360"/>
        <w:jc w:val="both"/>
        <w:rPr>
          <w:sz w:val="24"/>
          <w:szCs w:val="24"/>
        </w:rPr>
      </w:pPr>
    </w:p>
    <w:p w14:paraId="742A3A58" w14:textId="51A28925" w:rsidR="002B0EBD" w:rsidRDefault="00A93BFF" w:rsidP="00D63C76">
      <w:pPr>
        <w:numPr>
          <w:ilvl w:val="0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SIA “Rīgas Austrumu klīniskā universitātes slimnīca” (turpmāk – </w:t>
      </w:r>
      <w:r w:rsidR="008F439E" w:rsidRPr="00D63C76">
        <w:rPr>
          <w:sz w:val="24"/>
          <w:szCs w:val="24"/>
        </w:rPr>
        <w:t>RAKUS</w:t>
      </w:r>
      <w:r w:rsidRPr="00D63C76">
        <w:rPr>
          <w:sz w:val="24"/>
          <w:szCs w:val="24"/>
        </w:rPr>
        <w:t>)</w:t>
      </w:r>
      <w:r w:rsidR="008F439E" w:rsidRPr="00D63C76">
        <w:rPr>
          <w:sz w:val="24"/>
          <w:szCs w:val="24"/>
        </w:rPr>
        <w:t xml:space="preserve"> un </w:t>
      </w:r>
      <w:r w:rsidR="0785906C" w:rsidRPr="00D63C76">
        <w:rPr>
          <w:sz w:val="24"/>
          <w:szCs w:val="24"/>
        </w:rPr>
        <w:t>Valsts sabiedrība ar ierobežotu atbildību</w:t>
      </w:r>
      <w:r w:rsidRPr="00D63C76">
        <w:rPr>
          <w:sz w:val="24"/>
          <w:szCs w:val="24"/>
        </w:rPr>
        <w:t xml:space="preserve"> „Bērnu klīniskā universitātes slimnīca” (turpmāk – </w:t>
      </w:r>
      <w:r w:rsidR="008F439E" w:rsidRPr="00D63C76">
        <w:rPr>
          <w:sz w:val="24"/>
          <w:szCs w:val="24"/>
        </w:rPr>
        <w:t>BKUS</w:t>
      </w:r>
      <w:r w:rsidRPr="00D63C76">
        <w:rPr>
          <w:sz w:val="24"/>
          <w:szCs w:val="24"/>
        </w:rPr>
        <w:t>)</w:t>
      </w:r>
      <w:r w:rsidR="008F439E" w:rsidRPr="00D63C76">
        <w:rPr>
          <w:sz w:val="24"/>
          <w:szCs w:val="24"/>
        </w:rPr>
        <w:t xml:space="preserve"> </w:t>
      </w:r>
      <w:r w:rsidR="002B0EBD" w:rsidRPr="00D63C76">
        <w:rPr>
          <w:sz w:val="24"/>
          <w:szCs w:val="24"/>
        </w:rPr>
        <w:t>saskaņā ar</w:t>
      </w:r>
      <w:r w:rsidR="00B11F83" w:rsidRPr="00D63C76">
        <w:rPr>
          <w:sz w:val="24"/>
          <w:szCs w:val="24"/>
        </w:rPr>
        <w:t xml:space="preserve"> normatīvajiem aktiem un</w:t>
      </w:r>
      <w:r w:rsidR="002B0EBD" w:rsidRPr="00D63C76">
        <w:rPr>
          <w:sz w:val="24"/>
          <w:szCs w:val="24"/>
        </w:rPr>
        <w:t xml:space="preserve"> </w:t>
      </w:r>
      <w:r w:rsidR="008F439E" w:rsidRPr="00D63C76">
        <w:rPr>
          <w:sz w:val="24"/>
          <w:szCs w:val="24"/>
        </w:rPr>
        <w:t xml:space="preserve">Nacionālā veselības dienesta </w:t>
      </w:r>
      <w:r w:rsidR="002B0EBD" w:rsidRPr="00D63C76">
        <w:rPr>
          <w:sz w:val="24"/>
          <w:szCs w:val="24"/>
        </w:rPr>
        <w:t xml:space="preserve">centralizēti veiktā iepirkuma par </w:t>
      </w:r>
      <w:r w:rsidR="009806C2" w:rsidRPr="00D63C76">
        <w:rPr>
          <w:sz w:val="24"/>
          <w:szCs w:val="24"/>
        </w:rPr>
        <w:t xml:space="preserve">medicīniskā papilduztura, </w:t>
      </w:r>
      <w:r w:rsidR="002B0EBD" w:rsidRPr="00D63C76">
        <w:rPr>
          <w:sz w:val="24"/>
          <w:szCs w:val="24"/>
        </w:rPr>
        <w:t>enterālās un parenterālās barošanas līdzekļu piegād</w:t>
      </w:r>
      <w:r w:rsidR="6BC028EB" w:rsidRPr="00D63C76">
        <w:rPr>
          <w:sz w:val="24"/>
          <w:szCs w:val="24"/>
        </w:rPr>
        <w:t>es</w:t>
      </w:r>
      <w:r w:rsidR="002B0EBD" w:rsidRPr="00D63C76">
        <w:rPr>
          <w:sz w:val="24"/>
          <w:szCs w:val="24"/>
        </w:rPr>
        <w:t xml:space="preserve"> rezultātiem ir tiesīgs nozīmēt pacientiem</w:t>
      </w:r>
      <w:r w:rsidR="009806C2" w:rsidRPr="00D63C76">
        <w:rPr>
          <w:sz w:val="24"/>
          <w:szCs w:val="24"/>
        </w:rPr>
        <w:t xml:space="preserve"> medicīnisko papilduzturu,</w:t>
      </w:r>
      <w:r w:rsidR="002B0EBD" w:rsidRPr="00D63C76">
        <w:rPr>
          <w:sz w:val="24"/>
          <w:szCs w:val="24"/>
        </w:rPr>
        <w:t xml:space="preserve"> enterālās un parenterālās barošanas līdzekļus, nepārsniedzot līguma par</w:t>
      </w:r>
      <w:r w:rsidR="009806C2" w:rsidRPr="00D63C76">
        <w:rPr>
          <w:sz w:val="24"/>
          <w:szCs w:val="24"/>
        </w:rPr>
        <w:t xml:space="preserve"> medicīnisko papilduzturu,</w:t>
      </w:r>
      <w:r w:rsidR="002B0EBD" w:rsidRPr="00D63C76">
        <w:rPr>
          <w:sz w:val="24"/>
          <w:szCs w:val="24"/>
        </w:rPr>
        <w:t xml:space="preserve"> enterālās un parenterālās barošanas līdzekļu piegādi (turpmāk - piegādes līgums) </w:t>
      </w:r>
      <w:r w:rsidR="009806C2" w:rsidRPr="00D63C76">
        <w:rPr>
          <w:sz w:val="24"/>
          <w:szCs w:val="24"/>
        </w:rPr>
        <w:t>medicīniskā papilduztura,</w:t>
      </w:r>
      <w:r w:rsidR="002B0EBD" w:rsidRPr="00D63C76">
        <w:rPr>
          <w:sz w:val="24"/>
          <w:szCs w:val="24"/>
        </w:rPr>
        <w:t xml:space="preserve"> enterālās un parenterālās barošanas līdzekļu apmaksai noteikto </w:t>
      </w:r>
      <w:r w:rsidR="008F439E" w:rsidRPr="00D63C76">
        <w:rPr>
          <w:sz w:val="24"/>
          <w:szCs w:val="24"/>
        </w:rPr>
        <w:t xml:space="preserve">līguma </w:t>
      </w:r>
      <w:r w:rsidR="002B0EBD" w:rsidRPr="00D63C76">
        <w:rPr>
          <w:sz w:val="24"/>
          <w:szCs w:val="24"/>
        </w:rPr>
        <w:t>summu</w:t>
      </w:r>
      <w:r w:rsidR="008F439E" w:rsidRPr="00D63C76">
        <w:rPr>
          <w:sz w:val="24"/>
          <w:szCs w:val="24"/>
        </w:rPr>
        <w:t>.</w:t>
      </w:r>
      <w:r w:rsidR="002B0EBD" w:rsidRPr="00D63C76">
        <w:rPr>
          <w:sz w:val="24"/>
          <w:szCs w:val="24"/>
        </w:rPr>
        <w:t xml:space="preserve"> </w:t>
      </w:r>
    </w:p>
    <w:p w14:paraId="763AF285" w14:textId="77777777" w:rsidR="00D63C76" w:rsidRPr="00D63C76" w:rsidRDefault="00D63C76" w:rsidP="00D63C76">
      <w:pPr>
        <w:ind w:left="720"/>
        <w:jc w:val="both"/>
        <w:rPr>
          <w:sz w:val="24"/>
          <w:szCs w:val="24"/>
        </w:rPr>
      </w:pPr>
    </w:p>
    <w:p w14:paraId="7A3F102B" w14:textId="77777777" w:rsidR="00D63C76" w:rsidRDefault="00A93BFF" w:rsidP="00D63C7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RAKUS un BKUS</w:t>
      </w:r>
      <w:r w:rsidR="002B0EBD" w:rsidRPr="00D63C76">
        <w:rPr>
          <w:sz w:val="24"/>
          <w:szCs w:val="24"/>
        </w:rPr>
        <w:t xml:space="preserve"> pirms</w:t>
      </w:r>
      <w:r w:rsidR="009806C2" w:rsidRPr="00D63C76">
        <w:rPr>
          <w:sz w:val="24"/>
          <w:szCs w:val="24"/>
        </w:rPr>
        <w:t xml:space="preserve"> medicīniskā papilduztura</w:t>
      </w:r>
      <w:r w:rsidR="009F619C" w:rsidRPr="00D63C76">
        <w:rPr>
          <w:sz w:val="24"/>
          <w:szCs w:val="24"/>
        </w:rPr>
        <w:t>,</w:t>
      </w:r>
      <w:r w:rsidR="002B0EBD" w:rsidRPr="00D63C76">
        <w:rPr>
          <w:sz w:val="24"/>
          <w:szCs w:val="24"/>
        </w:rPr>
        <w:t xml:space="preserve"> enterālās un parenterālās barošanas līdzekļu nozīmēšanas pacientam pārliecinās par pacienta statusu </w:t>
      </w:r>
      <w:r w:rsidR="2AAC309B" w:rsidRPr="00D63C76">
        <w:rPr>
          <w:sz w:val="24"/>
          <w:szCs w:val="24"/>
        </w:rPr>
        <w:t>Veselības aprūpes pakalpojumu apmaksas norēķinu sistēmas “</w:t>
      </w:r>
      <w:r w:rsidR="002B0EBD" w:rsidRPr="00D63C76">
        <w:rPr>
          <w:sz w:val="24"/>
          <w:szCs w:val="24"/>
        </w:rPr>
        <w:t>Vadības informācijas sistēm</w:t>
      </w:r>
      <w:r w:rsidR="625BEBFF" w:rsidRPr="00D63C76">
        <w:rPr>
          <w:sz w:val="24"/>
          <w:szCs w:val="24"/>
        </w:rPr>
        <w:t>ā</w:t>
      </w:r>
      <w:r w:rsidR="255DD453" w:rsidRPr="00D63C76">
        <w:rPr>
          <w:sz w:val="24"/>
          <w:szCs w:val="24"/>
        </w:rPr>
        <w:t>”</w:t>
      </w:r>
      <w:r w:rsidR="16045266" w:rsidRPr="00D63C76">
        <w:rPr>
          <w:sz w:val="24"/>
          <w:szCs w:val="24"/>
        </w:rPr>
        <w:t xml:space="preserve"> </w:t>
      </w:r>
      <w:r w:rsidR="255DD453" w:rsidRPr="00D63C76">
        <w:rPr>
          <w:sz w:val="24"/>
          <w:szCs w:val="24"/>
        </w:rPr>
        <w:t>veselības aprūpes pakalpojumu saņēmēju reģistrā</w:t>
      </w:r>
      <w:r w:rsidR="002B0EBD" w:rsidRPr="00D63C76">
        <w:rPr>
          <w:sz w:val="24"/>
          <w:szCs w:val="24"/>
        </w:rPr>
        <w:t xml:space="preserve"> (pārbauda, vai pacient</w:t>
      </w:r>
      <w:r w:rsidR="3F41A9C3" w:rsidRPr="00D63C76">
        <w:rPr>
          <w:sz w:val="24"/>
          <w:szCs w:val="24"/>
        </w:rPr>
        <w:t>a</w:t>
      </w:r>
      <w:r w:rsidR="002B0EBD" w:rsidRPr="00D63C76">
        <w:rPr>
          <w:sz w:val="24"/>
          <w:szCs w:val="24"/>
        </w:rPr>
        <w:t xml:space="preserve"> </w:t>
      </w:r>
      <w:r w:rsidR="01519978" w:rsidRPr="00D63C76">
        <w:rPr>
          <w:sz w:val="24"/>
          <w:szCs w:val="24"/>
        </w:rPr>
        <w:t xml:space="preserve">statuss veselības aprūpes pakalpojumu saņēmēju reģistrā </w:t>
      </w:r>
      <w:r w:rsidR="002B0EBD" w:rsidRPr="00D63C76">
        <w:rPr>
          <w:sz w:val="24"/>
          <w:szCs w:val="24"/>
        </w:rPr>
        <w:t xml:space="preserve">nav </w:t>
      </w:r>
      <w:r w:rsidR="5A707484" w:rsidRPr="00D63C76">
        <w:rPr>
          <w:sz w:val="24"/>
          <w:szCs w:val="24"/>
        </w:rPr>
        <w:t>“</w:t>
      </w:r>
      <w:r w:rsidR="002B0EBD" w:rsidRPr="00D63C76">
        <w:rPr>
          <w:sz w:val="24"/>
          <w:szCs w:val="24"/>
        </w:rPr>
        <w:t>izslēgts</w:t>
      </w:r>
      <w:r w:rsidR="0A7B9DA7" w:rsidRPr="00D63C76">
        <w:rPr>
          <w:sz w:val="24"/>
          <w:szCs w:val="24"/>
        </w:rPr>
        <w:t>”</w:t>
      </w:r>
      <w:r w:rsidR="002B0EBD" w:rsidRPr="00D63C76">
        <w:rPr>
          <w:sz w:val="24"/>
          <w:szCs w:val="24"/>
        </w:rPr>
        <w:t>).</w:t>
      </w:r>
    </w:p>
    <w:p w14:paraId="605C46C4" w14:textId="77777777" w:rsidR="00D63C76" w:rsidRDefault="00D63C76" w:rsidP="00D63C76">
      <w:pPr>
        <w:pStyle w:val="ListParagraph"/>
      </w:pPr>
    </w:p>
    <w:p w14:paraId="5377D8AD" w14:textId="77777777" w:rsidR="00D63C76" w:rsidRDefault="001A157A" w:rsidP="00D63C7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RAKUS un BKUS laikā, kad pacienti ārstējas stacionārā</w:t>
      </w:r>
      <w:r w:rsidR="0104D3B1" w:rsidRPr="00D63C76">
        <w:rPr>
          <w:sz w:val="24"/>
          <w:szCs w:val="24"/>
        </w:rPr>
        <w:t>,</w:t>
      </w:r>
      <w:r w:rsidRPr="00D63C76">
        <w:rPr>
          <w:sz w:val="24"/>
          <w:szCs w:val="24"/>
        </w:rPr>
        <w:t xml:space="preserve"> nepieciešamo ārstniecisko pārtiku nodrošina stacionāra finansējuma ietvaros.</w:t>
      </w:r>
    </w:p>
    <w:p w14:paraId="37C05145" w14:textId="77777777" w:rsidR="00D63C76" w:rsidRDefault="00D63C76" w:rsidP="00D63C76">
      <w:pPr>
        <w:pStyle w:val="ListParagraph"/>
      </w:pPr>
    </w:p>
    <w:p w14:paraId="31A61316" w14:textId="41F79E11" w:rsidR="00F27C6A" w:rsidRPr="00D63C76" w:rsidRDefault="00F27C6A" w:rsidP="00D63C7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3C76">
        <w:t xml:space="preserve">RAKUS medicīnisko papilduzturu, enterālās un parenterālās barošanas līdzekļus nozīmē Enterālās un </w:t>
      </w:r>
      <w:r w:rsidRPr="00D63C76">
        <w:rPr>
          <w:sz w:val="24"/>
          <w:szCs w:val="24"/>
        </w:rPr>
        <w:t>parenterālās barošanas pacientu aprūpes kabineta ietvaros, kur pakalpojumu sniedz uztura speciālists</w:t>
      </w:r>
      <w:r w:rsidR="694D99E0" w:rsidRPr="00D63C76">
        <w:rPr>
          <w:sz w:val="24"/>
          <w:szCs w:val="24"/>
        </w:rPr>
        <w:t>, dietologs</w:t>
      </w:r>
      <w:r w:rsidRPr="00D63C76">
        <w:rPr>
          <w:sz w:val="24"/>
          <w:szCs w:val="24"/>
        </w:rPr>
        <w:t xml:space="preserve"> un māsa (vispārējās aprūpes māsa), kurai ir zināšanas par medicīnisko papilduzturu, enterālās un parenterālās barošanas jautājumiem</w:t>
      </w:r>
      <w:r w:rsidR="00F473FD" w:rsidRPr="00D63C76">
        <w:rPr>
          <w:sz w:val="24"/>
          <w:szCs w:val="24"/>
        </w:rPr>
        <w:t>, t.sk.</w:t>
      </w:r>
      <w:r w:rsidRPr="00D63C76">
        <w:rPr>
          <w:sz w:val="24"/>
          <w:szCs w:val="24"/>
        </w:rPr>
        <w:t>:</w:t>
      </w:r>
    </w:p>
    <w:p w14:paraId="0E01BDC4" w14:textId="30445FDB" w:rsidR="00E72B5B" w:rsidRPr="00D63C76" w:rsidRDefault="7E2A4C39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>p</w:t>
      </w:r>
      <w:r w:rsidR="6F0AD179" w:rsidRPr="00D63C76">
        <w:t xml:space="preserve">acientiem tiek </w:t>
      </w:r>
      <w:r w:rsidR="00E72B5B" w:rsidRPr="00D63C76">
        <w:t>snie</w:t>
      </w:r>
      <w:r w:rsidR="70C03701" w:rsidRPr="00D63C76">
        <w:t>gtas</w:t>
      </w:r>
      <w:r w:rsidR="00E72B5B" w:rsidRPr="00D63C76">
        <w:t xml:space="preserve"> klātienes vai attālinātas konsultācijas ar ģimenes ārsta vai ārsta speciālista nosūtījumu;</w:t>
      </w:r>
    </w:p>
    <w:p w14:paraId="43904526" w14:textId="1F13E248" w:rsidR="00E72B5B" w:rsidRPr="00D63C76" w:rsidRDefault="3C43B054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 xml:space="preserve">tiek </w:t>
      </w:r>
      <w:r w:rsidR="00E72B5B" w:rsidRPr="00D63C76">
        <w:t>izvērtē</w:t>
      </w:r>
      <w:r w:rsidR="1FEC0A9A" w:rsidRPr="00D63C76">
        <w:t>ta</w:t>
      </w:r>
      <w:r w:rsidR="00E72B5B" w:rsidRPr="00D63C76">
        <w:t xml:space="preserve"> </w:t>
      </w:r>
      <w:r w:rsidR="00F473FD" w:rsidRPr="00D63C76">
        <w:t>pacientu atbilstīb</w:t>
      </w:r>
      <w:r w:rsidR="74AAF169" w:rsidRPr="00D63C76">
        <w:t>a</w:t>
      </w:r>
      <w:r w:rsidR="00F473FD" w:rsidRPr="00D63C76">
        <w:t xml:space="preserve"> medicīnisko indikāciju kritērijiem, kas ir </w:t>
      </w:r>
      <w:r w:rsidR="725CEB8E" w:rsidRPr="00D63C76">
        <w:t>noteikti</w:t>
      </w:r>
      <w:r w:rsidR="00F473FD" w:rsidRPr="00D63C76">
        <w:t xml:space="preserve"> šīs kārtības 5. punktā;</w:t>
      </w:r>
    </w:p>
    <w:p w14:paraId="17D759D9" w14:textId="486EBB0A" w:rsidR="00E72B5B" w:rsidRPr="00D63C76" w:rsidRDefault="50310247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 xml:space="preserve">tiek veikta </w:t>
      </w:r>
      <w:r w:rsidR="00F27C6A" w:rsidRPr="00D63C76">
        <w:t>pacientu, kuriem nepieciešams medicīniskais papilduzturs, enterālā vai parenterālā barošana, uzskait</w:t>
      </w:r>
      <w:r w:rsidR="3436DE6A" w:rsidRPr="00D63C76">
        <w:t>e</w:t>
      </w:r>
      <w:r w:rsidR="00F27C6A" w:rsidRPr="00D63C76">
        <w:t>;</w:t>
      </w:r>
    </w:p>
    <w:p w14:paraId="1A4E0012" w14:textId="69913DD9" w:rsidR="00E72B5B" w:rsidRPr="00D63C76" w:rsidRDefault="318A9CC9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 xml:space="preserve">tiek veikta </w:t>
      </w:r>
      <w:r w:rsidR="00F27C6A" w:rsidRPr="00D63C76">
        <w:t>pacientam nepieciešamo barošanas produktu, medikamentu un medicīnas preču pasūtīšan</w:t>
      </w:r>
      <w:r w:rsidR="5338AF24" w:rsidRPr="00D63C76">
        <w:t>a</w:t>
      </w:r>
      <w:r w:rsidR="00F27C6A" w:rsidRPr="00D63C76">
        <w:t xml:space="preserve"> atbilstoši </w:t>
      </w:r>
      <w:r w:rsidR="00E72B5B" w:rsidRPr="00D63C76">
        <w:t xml:space="preserve">piegādes </w:t>
      </w:r>
      <w:r w:rsidR="00F27C6A" w:rsidRPr="00D63C76">
        <w:t>līgumā noteiktajai kārtībai</w:t>
      </w:r>
      <w:r w:rsidR="00F473FD" w:rsidRPr="00D63C76">
        <w:t>, lai pacients varētu sākt saņemt barošanas līdzekļus ne vēlāk kā 3 līdz 4 darba dienu laikā pēc pirmās vizītes</w:t>
      </w:r>
      <w:r w:rsidR="1B5FCEE3" w:rsidRPr="00D63C76">
        <w:t xml:space="preserve"> Enterālās un parenterālās barošanas pacientu aprūpes kabinetā</w:t>
      </w:r>
      <w:r w:rsidR="00F27C6A" w:rsidRPr="00D63C76">
        <w:t>;</w:t>
      </w:r>
    </w:p>
    <w:p w14:paraId="2A25817D" w14:textId="0F4DD4CB" w:rsidR="00E72B5B" w:rsidRPr="00D63C76" w:rsidRDefault="57D6B2DE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 xml:space="preserve">tiek koordinēti </w:t>
      </w:r>
      <w:r w:rsidR="00F27C6A" w:rsidRPr="00D63C76">
        <w:t>pacientam nepieciešam</w:t>
      </w:r>
      <w:r w:rsidR="3E678C58" w:rsidRPr="00D63C76">
        <w:t>ie</w:t>
      </w:r>
      <w:r w:rsidR="34F867CF" w:rsidRPr="00D63C76">
        <w:t xml:space="preserve"> </w:t>
      </w:r>
      <w:r w:rsidR="00F27C6A" w:rsidRPr="00D63C76">
        <w:t>pakalpojum</w:t>
      </w:r>
      <w:r w:rsidR="217626E8" w:rsidRPr="00D63C76">
        <w:t>i</w:t>
      </w:r>
      <w:r w:rsidR="00F27C6A" w:rsidRPr="00D63C76">
        <w:t>, papildus nodrošinot citu speciālistu iesaisti pacienta izmeklēšanā un aprūpē atbilstoši pacienta medicīniskajām indikācijām;</w:t>
      </w:r>
    </w:p>
    <w:p w14:paraId="3C2046B5" w14:textId="49CCB372" w:rsidR="00F473FD" w:rsidRPr="00D63C76" w:rsidRDefault="78FD34A5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>t</w:t>
      </w:r>
      <w:r w:rsidR="6457714C" w:rsidRPr="00D63C76">
        <w:t>iek veikta</w:t>
      </w:r>
      <w:r w:rsidR="409DFDE0" w:rsidRPr="00D63C76">
        <w:t xml:space="preserve"> </w:t>
      </w:r>
      <w:r w:rsidR="00F473FD" w:rsidRPr="00D63C76">
        <w:t>pacientu dinamisk</w:t>
      </w:r>
      <w:r w:rsidR="7E87A631" w:rsidRPr="00D63C76">
        <w:t>ā</w:t>
      </w:r>
      <w:r w:rsidR="00F473FD" w:rsidRPr="00D63C76">
        <w:t xml:space="preserve"> novērošan</w:t>
      </w:r>
      <w:r w:rsidR="18801D55" w:rsidRPr="00D63C76">
        <w:t>a</w:t>
      </w:r>
      <w:r w:rsidR="00F473FD" w:rsidRPr="00D63C76">
        <w:t>, t.sk. lai izskatītu jautājumu par ārstnieciskās pārtikas lietošanas atcelšanu, maiņu vai turpināšanu;</w:t>
      </w:r>
    </w:p>
    <w:p w14:paraId="617DB8B9" w14:textId="439393AF" w:rsidR="00F27C6A" w:rsidRPr="00D63C76" w:rsidRDefault="4E4F6118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t xml:space="preserve">tiek sagatavoti </w:t>
      </w:r>
      <w:r w:rsidR="00F27C6A" w:rsidRPr="00D63C76">
        <w:t>informatīv</w:t>
      </w:r>
      <w:r w:rsidR="270E6628" w:rsidRPr="00D63C76">
        <w:t>ie</w:t>
      </w:r>
      <w:r w:rsidR="00F27C6A" w:rsidRPr="00D63C76">
        <w:t xml:space="preserve"> materiāl</w:t>
      </w:r>
      <w:r w:rsidR="0DE43815" w:rsidRPr="00D63C76">
        <w:t>i, kas</w:t>
      </w:r>
      <w:r w:rsidR="491B2B53" w:rsidRPr="00D63C76">
        <w:t xml:space="preserve"> </w:t>
      </w:r>
      <w:r w:rsidR="3D44F72F" w:rsidRPr="00D63C76">
        <w:t>tiek</w:t>
      </w:r>
      <w:r w:rsidR="00F27C6A" w:rsidRPr="00D63C76">
        <w:t xml:space="preserve"> izvieto</w:t>
      </w:r>
      <w:r w:rsidR="2F276F80" w:rsidRPr="00D63C76">
        <w:t>ti</w:t>
      </w:r>
      <w:r w:rsidR="00F27C6A" w:rsidRPr="00D63C76">
        <w:t xml:space="preserve"> ārstniecības iestād</w:t>
      </w:r>
      <w:r w:rsidR="11D98271" w:rsidRPr="00D63C76">
        <w:t>ē</w:t>
      </w:r>
      <w:r w:rsidR="00F27C6A" w:rsidRPr="00D63C76">
        <w:t>s</w:t>
      </w:r>
      <w:r w:rsidR="76846E5D" w:rsidRPr="00D63C76">
        <w:t xml:space="preserve"> un to mājas lapās</w:t>
      </w:r>
      <w:r w:rsidR="00F27C6A" w:rsidRPr="00D63C76">
        <w:t xml:space="preserve"> vai Nacionālā veselības dienesta mājas lapā</w:t>
      </w:r>
      <w:r w:rsidR="00D63C76">
        <w:t>;</w:t>
      </w:r>
      <w:r w:rsidR="00F27C6A" w:rsidRPr="00D63C76">
        <w:t xml:space="preserve">  </w:t>
      </w:r>
    </w:p>
    <w:p w14:paraId="343234C9" w14:textId="77777777" w:rsidR="00D63C76" w:rsidRDefault="72D77826" w:rsidP="00D63C76">
      <w:pPr>
        <w:pStyle w:val="NormalWeb"/>
        <w:numPr>
          <w:ilvl w:val="1"/>
          <w:numId w:val="1"/>
        </w:numPr>
        <w:spacing w:after="160" w:line="259" w:lineRule="auto"/>
        <w:contextualSpacing/>
        <w:jc w:val="both"/>
      </w:pPr>
      <w:r w:rsidRPr="00D63C76">
        <w:lastRenderedPageBreak/>
        <w:t xml:space="preserve">RAKUS Enterālās un parenterālās barošanas pacientu aprūpes kabinets var veidot sadarbību ar </w:t>
      </w:r>
      <w:r w:rsidR="712E5588" w:rsidRPr="00D63C76">
        <w:t>uztura speciālistiem, kas ir līgumattiecībās ar Dienestu</w:t>
      </w:r>
      <w:r w:rsidR="718803F5" w:rsidRPr="00D63C76">
        <w:t>*</w:t>
      </w:r>
      <w:r w:rsidR="712E5588" w:rsidRPr="00D63C76">
        <w:t>, pakalpojuma r</w:t>
      </w:r>
      <w:r w:rsidRPr="00D63C76">
        <w:t>eģionāl</w:t>
      </w:r>
      <w:r w:rsidR="7E4032BD" w:rsidRPr="00D63C76">
        <w:t>ā pārklājuma nodrošināšanai</w:t>
      </w:r>
      <w:r w:rsidR="5CED0EDC" w:rsidRPr="00D63C76">
        <w:t>.</w:t>
      </w:r>
    </w:p>
    <w:p w14:paraId="1827C717" w14:textId="77777777" w:rsidR="00D63C76" w:rsidRDefault="00D63C76" w:rsidP="00D63C76">
      <w:pPr>
        <w:pStyle w:val="NormalWeb"/>
        <w:spacing w:after="160" w:line="259" w:lineRule="auto"/>
        <w:ind w:left="1440"/>
        <w:contextualSpacing/>
        <w:jc w:val="both"/>
      </w:pPr>
    </w:p>
    <w:p w14:paraId="7CE75837" w14:textId="62C7E077" w:rsidR="002B0EBD" w:rsidRPr="00D63C76" w:rsidRDefault="009806C2" w:rsidP="00D63C76">
      <w:pPr>
        <w:pStyle w:val="NormalWeb"/>
        <w:numPr>
          <w:ilvl w:val="0"/>
          <w:numId w:val="1"/>
        </w:numPr>
        <w:spacing w:after="160" w:line="259" w:lineRule="auto"/>
        <w:contextualSpacing/>
        <w:jc w:val="both"/>
      </w:pPr>
      <w:r w:rsidRPr="00D63C76">
        <w:t>Medicīnisko papilduzturu, e</w:t>
      </w:r>
      <w:r w:rsidR="002B0EBD" w:rsidRPr="00D63C76">
        <w:t xml:space="preserve">nterālās un parenterālās barošanas līdzekļus nozīmē </w:t>
      </w:r>
      <w:r w:rsidR="004915D6" w:rsidRPr="00D63C76">
        <w:t xml:space="preserve">pieaugušajiem </w:t>
      </w:r>
      <w:r w:rsidR="002B0EBD" w:rsidRPr="00D63C76">
        <w:t>pacientam, ņemot vērā šādus nosacījumus:</w:t>
      </w:r>
    </w:p>
    <w:p w14:paraId="523038CE" w14:textId="77777777" w:rsidR="001F25A3" w:rsidRPr="00D63C76" w:rsidRDefault="001F25A3" w:rsidP="00D63C7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indikācijas medicīniskam papilduzturam: </w:t>
      </w:r>
    </w:p>
    <w:p w14:paraId="1F00165F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G12.2 Motoriskā neirona slimība un ar:</w:t>
      </w:r>
    </w:p>
    <w:p w14:paraId="616704B0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apstiprinātu orofaringeālo disfāgiju, izmantojot tilpuma-viskozitātes rīšanas testu (Volume-Viscosity swallow test) vai citu analoģisku testu – nedroša šķidruma norīšana;</w:t>
      </w:r>
    </w:p>
    <w:p w14:paraId="482BCD65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izvērtējuma (Nutritional Risk Assessment 2002 [NRS-2002]) skalas punktu skaitu vismaz 3;</w:t>
      </w:r>
    </w:p>
    <w:p w14:paraId="53738663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R13 Disfāgija (pacients pilnībā neatbilst K22.2 vai G12.2) un ar:</w:t>
      </w:r>
    </w:p>
    <w:p w14:paraId="11F776FC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apstiprinātu orofaringeālo disfāgiju, izmantojot tilpuma-viskozitātes rīšanas testu (Volume-Viscosity swallow test) vai citu analoģisku testu– nedroša šķidruma norīšana vai rentgenoskopiski un/vai endoskopiski apstiprinātu ezofageālo disfāgiju;</w:t>
      </w:r>
    </w:p>
    <w:p w14:paraId="5D9C4E0E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izvērtējuma (Nutritional Risk Assessment 2002 [NRS-2002]) skalas punktu skaitu vismaz 3;</w:t>
      </w:r>
    </w:p>
    <w:p w14:paraId="506B44E1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E43 Neprecizēta smaga olbaltumu un enerģētiska malnutrīcija un dokumentētu malnutrīciju, pielietojot Globālas malnutrīcijas līderības (Global Leadership Initiative on Malnutrition [GLIM]) diagnostiskus kritērijus – 2. pakāpe; </w:t>
      </w:r>
    </w:p>
    <w:p w14:paraId="3E3E44C1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E44.0 Vidēji smaga olbaltumu un enerģētiska malnutrīcija un dokumentētu malnutrīciju, pielietojot Globālas malnutrīcijas līderības (Global Leadership Initiative on Malnutrition [GLIM]) diagnostiskus kritērijus – 1. pakāpe;</w:t>
      </w:r>
    </w:p>
    <w:p w14:paraId="75E071DB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K59.8 Citi precizēti funkcionālie zarnu darbības traucējumi un ar:</w:t>
      </w:r>
    </w:p>
    <w:p w14:paraId="3E7CE548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radioloģiski un/vai morfoloģiski apstiprinātu diagnozi;</w:t>
      </w:r>
    </w:p>
    <w:p w14:paraId="5874C569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[ESPEN]);</w:t>
      </w:r>
    </w:p>
    <w:p w14:paraId="12C62736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izvērtējuma (Nutritional Risk Assessment 2002 [NRS-2002]) skalas punktu skaitu vismaz 3;</w:t>
      </w:r>
    </w:p>
    <w:p w14:paraId="56DB02D4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K63.2 Zarnu fistulas un ar:</w:t>
      </w:r>
    </w:p>
    <w:p w14:paraId="2B087268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radioloģiski pieradītu tievo zarnu fistulu ar izsviedes apjomu &gt; 500 ml/d;</w:t>
      </w:r>
    </w:p>
    <w:p w14:paraId="7E19CF20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[ESPEN]);</w:t>
      </w:r>
    </w:p>
    <w:p w14:paraId="3F2C0C8A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</w:t>
      </w:r>
      <w:r w:rsidR="003A1617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 (Nutritional Risk Assessment 2002 [NRS-2002]) skalas punktu skaitu vismaz 3;</w:t>
      </w:r>
    </w:p>
    <w:p w14:paraId="17E9E52C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K86.8 Citas precizētas aizkuņģa dziedzera slimības un ar:</w:t>
      </w:r>
    </w:p>
    <w:p w14:paraId="03099710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lastRenderedPageBreak/>
        <w:t xml:space="preserve"> radioloģiski pier</w:t>
      </w:r>
      <w:r w:rsidR="003A1617" w:rsidRPr="00D63C76">
        <w:rPr>
          <w:sz w:val="24"/>
          <w:szCs w:val="24"/>
        </w:rPr>
        <w:t>ā</w:t>
      </w:r>
      <w:r w:rsidRPr="00D63C76">
        <w:rPr>
          <w:sz w:val="24"/>
          <w:szCs w:val="24"/>
        </w:rPr>
        <w:t>dītu aizkuņģa dziedzera fistulu ar izsviedes apjomu &gt; 200 ml/d;</w:t>
      </w:r>
    </w:p>
    <w:p w14:paraId="21F4FEA1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[ESPEN]);</w:t>
      </w:r>
    </w:p>
    <w:p w14:paraId="4ED93AB6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izvertējuma (Nutritional Risk Assessment 2002 [NRS-2002]) skalas punktu skaitu vismaz 3;</w:t>
      </w:r>
    </w:p>
    <w:p w14:paraId="7EAE28E3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K90 Zarnu malabsorbcija un ar:</w:t>
      </w:r>
    </w:p>
    <w:p w14:paraId="7A638552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klīniski un/vai laboratoriski un/vai radioloģiski un/vai morfoloģiski apstiprinātu diagnozi;</w:t>
      </w:r>
    </w:p>
    <w:p w14:paraId="56FE9A8A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[ESPEN]);</w:t>
      </w:r>
    </w:p>
    <w:p w14:paraId="007B94CD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izvertējuma (Nutritional Risk Assessment 2002 [NRS-2002]) skalas punktu skaitu vismaz 3;</w:t>
      </w:r>
    </w:p>
    <w:p w14:paraId="200828D5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K91.2 Citur neklasificēta malabsorbcija pēc ķirurģiskas operācijas un ar:</w:t>
      </w:r>
    </w:p>
    <w:p w14:paraId="74133B3C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dokumentētu plašu tievo zarnu rezekciju jebkura iemesla dēļ;</w:t>
      </w:r>
    </w:p>
    <w:p w14:paraId="20D4598F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[ESPEN])];</w:t>
      </w:r>
    </w:p>
    <w:p w14:paraId="0D7C7C46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izvērtējuma (Nutritional Risk Assessment 2002 [NRS-2002]) skalas punktu skaiti vismaz 3;</w:t>
      </w:r>
    </w:p>
    <w:p w14:paraId="7BB83B2E" w14:textId="77777777" w:rsidR="001F25A3" w:rsidRPr="00D63C76" w:rsidRDefault="001F25A3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K91.3 Zarnu obstrukcija pēc operācijas un ar:</w:t>
      </w:r>
    </w:p>
    <w:p w14:paraId="65C344ED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radioloģiski apstiprinātu diagnozi; </w:t>
      </w:r>
    </w:p>
    <w:p w14:paraId="0F3823A0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[ESPEN]);</w:t>
      </w:r>
    </w:p>
    <w:p w14:paraId="77BB5756" w14:textId="77777777" w:rsidR="001F25A3" w:rsidRPr="00D63C76" w:rsidRDefault="001F25A3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izvērtējuma (Nutritional Risk Assessment 2002 [NRS-2002]) skalas punktu skaitu vismaz 3;</w:t>
      </w:r>
    </w:p>
    <w:p w14:paraId="69127081" w14:textId="77777777" w:rsidR="009806C2" w:rsidRPr="00D63C76" w:rsidRDefault="009806C2" w:rsidP="00D63C7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indikācijas enterālai barošanai: </w:t>
      </w:r>
    </w:p>
    <w:p w14:paraId="03730538" w14:textId="77777777" w:rsidR="009806C2" w:rsidRPr="00D63C76" w:rsidRDefault="009806C2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K22.2 Barības vada obstrukcija un ar:</w:t>
      </w:r>
    </w:p>
    <w:p w14:paraId="6E9BEE96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noskaidrotu etioloģiju, piemēram, C15 barības vada ļaundabīgais audzējs;</w:t>
      </w:r>
    </w:p>
    <w:p w14:paraId="6F1CE800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rentgenoskopiski un/vai endoskopiski apstiprinātu ezofageālo disfāgiju;</w:t>
      </w:r>
    </w:p>
    <w:p w14:paraId="42FD3D6A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uztures riska izvērtējuma (Nutritional Risk Assessment 2002 [NRS-2002]) skalas punktu skaitu vismaz 3;</w:t>
      </w:r>
    </w:p>
    <w:p w14:paraId="0829D744" w14:textId="77777777" w:rsidR="009806C2" w:rsidRPr="00D63C76" w:rsidRDefault="009806C2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G12.2 Motoriskā neirona slimība un ar:</w:t>
      </w:r>
    </w:p>
    <w:p w14:paraId="4833F151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apstiprinātu orofaringeālo disfāgiju, izmantojot tilpuma-viskozitātes rīšanas testu (Volume-Viscosity swallow test) vai citu analoģisku testu – nedroša šķidruma norīšana;</w:t>
      </w:r>
    </w:p>
    <w:p w14:paraId="0BBD9150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izvērtējuma (Nutritional Risk Assessment 2002 [NRS-2002]) skalas punktu skaitu vismaz 3;</w:t>
      </w:r>
    </w:p>
    <w:p w14:paraId="027C5839" w14:textId="77777777" w:rsidR="009806C2" w:rsidRPr="00D63C76" w:rsidRDefault="009806C2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R13 Disfāgija (pacients pilnībā neatbilst K22.2 vai G12.2) un ar:</w:t>
      </w:r>
    </w:p>
    <w:p w14:paraId="775131FC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apstiprinātu orofaringeālo disfāgiju, izmantojot tilpuma-viskozitātes rīšanas testu (Volume-Viscosity swallow test) vai citu analoģisku testu– </w:t>
      </w:r>
      <w:r w:rsidRPr="00D63C76">
        <w:rPr>
          <w:sz w:val="24"/>
          <w:szCs w:val="24"/>
        </w:rPr>
        <w:lastRenderedPageBreak/>
        <w:t>nedroša šķidruma norīšana vai rentgenoskopiski un/vai endoskopiski apstiprinātu ezofageālo disfāgiju;</w:t>
      </w:r>
    </w:p>
    <w:p w14:paraId="00F781FF" w14:textId="77777777" w:rsidR="009806C2" w:rsidRPr="00D63C76" w:rsidRDefault="009806C2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izvērtējuma (Nutritional Risk Assessment 2002 [NRS-2002]) skalas punktu skaitu vismaz 3;</w:t>
      </w:r>
    </w:p>
    <w:p w14:paraId="3242B7FA" w14:textId="77777777" w:rsidR="009806C2" w:rsidRPr="00D63C76" w:rsidRDefault="009806C2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E43 Neprecizēta smaga olbaltumu un enerģētiska malnutrīcija un dokumentētu malnutrīciju, pielietojot Globālas malnutrīcijas līderības (Global Leadership Initiative on Malnutrition [GLIM]) diagnostiskus kritērijus – 2. pakāpe; </w:t>
      </w:r>
    </w:p>
    <w:p w14:paraId="4498CF55" w14:textId="77777777" w:rsidR="009806C2" w:rsidRPr="00D63C76" w:rsidRDefault="009806C2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persona ar diagnozi - E44.0 Vidēji smaga olbaltumu un enerģētiska malnutrīcija un dokumentētu malnutrīciju, pielietojot Globālas malnutrīcijas līderības (Global Leadership Initiative on Malnutrition [GLIM]) diagnostiskus kritērijus – 1. pakāpe; </w:t>
      </w:r>
    </w:p>
    <w:p w14:paraId="3556C93B" w14:textId="77777777" w:rsidR="002B0EBD" w:rsidRPr="00D63C76" w:rsidRDefault="002B0EBD" w:rsidP="00D63C76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indikācijas parenterālai barošanai: </w:t>
      </w:r>
    </w:p>
    <w:p w14:paraId="5D72BA64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K56 Paralītisks ileuss un zarnu nosprostojums bez trūces un ar:</w:t>
      </w:r>
    </w:p>
    <w:p w14:paraId="156585FE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radioloģiski apstiprinātu diagnozi;</w:t>
      </w:r>
    </w:p>
    <w:p w14:paraId="72D217D2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[ESPEN]);</w:t>
      </w:r>
    </w:p>
    <w:p w14:paraId="00E8B620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</w:t>
      </w:r>
      <w:r w:rsidR="00E1686A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 (Nutritional Risk Assessment 2002 [NRS-2002]) skalas punktu skaitu vismaz 3;</w:t>
      </w:r>
    </w:p>
    <w:p w14:paraId="7A9F8D36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K59.8 Citi precizēti funkcionālie zarnu darbības traucējumi un ar:</w:t>
      </w:r>
    </w:p>
    <w:p w14:paraId="55F95B89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radioloģiski un/vai morfoloģiski apstiprinātu diagnozi;</w:t>
      </w:r>
    </w:p>
    <w:p w14:paraId="5A397301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[ESPEN]);</w:t>
      </w:r>
    </w:p>
    <w:p w14:paraId="68FDDE34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</w:t>
      </w:r>
      <w:r w:rsidR="009166E4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 (Nutritional Risk Assessment 2002 [NRS-2002]) skalas punktu skaitu vismaz 3;</w:t>
      </w:r>
    </w:p>
    <w:p w14:paraId="6E425FDB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K63.2 Zarnu fistulas un ar:</w:t>
      </w:r>
    </w:p>
    <w:p w14:paraId="03645524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radioloģiski pier</w:t>
      </w:r>
      <w:r w:rsidR="003A1617" w:rsidRPr="00D63C76">
        <w:rPr>
          <w:sz w:val="24"/>
          <w:szCs w:val="24"/>
        </w:rPr>
        <w:t>ā</w:t>
      </w:r>
      <w:r w:rsidRPr="00D63C76">
        <w:rPr>
          <w:sz w:val="24"/>
          <w:szCs w:val="24"/>
        </w:rPr>
        <w:t>dītu tievo zarnu fistulu ar izsviedes apjomu &gt; 500 ml/d;</w:t>
      </w:r>
    </w:p>
    <w:p w14:paraId="3B22EDDE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[ESPEN]);</w:t>
      </w:r>
    </w:p>
    <w:p w14:paraId="460C226F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</w:t>
      </w:r>
      <w:r w:rsidR="003A1617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 (Nutritional Risk Assessment 2002 [NRS-2002]) skalas punktu skaitu vismaz 3;</w:t>
      </w:r>
    </w:p>
    <w:p w14:paraId="5A91CC6C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K86.8 Citas precizētas aizkuņģa dziedzera slimības un ar:</w:t>
      </w:r>
    </w:p>
    <w:p w14:paraId="265C2BBE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radioloģiski pieradītu aizkuņģa dziedzera fistulu ar izsviedes apjomu &gt; 200 ml/d;</w:t>
      </w:r>
    </w:p>
    <w:p w14:paraId="3906F011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[ESPEN]);</w:t>
      </w:r>
    </w:p>
    <w:p w14:paraId="5A34800F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</w:t>
      </w:r>
      <w:r w:rsidR="003A1617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 (Nutritional Risk Assessment 2002 [NRS-2002]) skalas punktu skaitu vismaz 3;</w:t>
      </w:r>
    </w:p>
    <w:p w14:paraId="2B21AF05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K90 Zarnu malabsorbcija un ar:</w:t>
      </w:r>
    </w:p>
    <w:p w14:paraId="4644180D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lastRenderedPageBreak/>
        <w:t xml:space="preserve"> klīniski un/vai laboratoriski un/vai radioloģiski un/vai morfoloģiski apstiprinātu diagnozi;</w:t>
      </w:r>
    </w:p>
    <w:p w14:paraId="3D5B7E45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[ESPEN]);</w:t>
      </w:r>
    </w:p>
    <w:p w14:paraId="7A07E4D8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</w:t>
      </w:r>
      <w:r w:rsidR="003A1617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 (Nutritional Risk Assessment 2002 [NRS-2002]) skalas punktu skaitu vismaz 3;</w:t>
      </w:r>
    </w:p>
    <w:p w14:paraId="1BE33320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K91.2 Citur neklasificēta malabsorbcija pēc ķirurģiskas operācijas un ar:</w:t>
      </w:r>
    </w:p>
    <w:p w14:paraId="762D0174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dokumentētu plašu tievo zarnu rezekciju jebkura iemesla dēļ;</w:t>
      </w:r>
    </w:p>
    <w:p w14:paraId="379DAD23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[ESPEN])];</w:t>
      </w:r>
    </w:p>
    <w:p w14:paraId="3707E411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</w:t>
      </w:r>
      <w:r w:rsidR="00E84F1D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 (Nutritional Risk Assessment 2002 [NRS-2002]) skalas punktu skaiti vismaz 3;</w:t>
      </w:r>
    </w:p>
    <w:p w14:paraId="44C53D89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K91.3 Zarnu obstrukcija pēc operācijas un ar:</w:t>
      </w:r>
    </w:p>
    <w:p w14:paraId="5DD6970C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radioloģiski apstiprinātu diagnozi; </w:t>
      </w:r>
    </w:p>
    <w:p w14:paraId="0C6D7EE1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2. vai 3. tipa zarnu mazspēju atbilstoši Eiropas Klīniskās barošanas un metabolisma biedrības definīcijai (The European Society for Clinical Nutrition and Metabolism [ESPEN]);</w:t>
      </w:r>
    </w:p>
    <w:p w14:paraId="5FA93735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uztures riska izv</w:t>
      </w:r>
      <w:r w:rsidR="004B4D47" w:rsidRPr="00D63C76">
        <w:rPr>
          <w:sz w:val="24"/>
          <w:szCs w:val="24"/>
        </w:rPr>
        <w:t>ē</w:t>
      </w:r>
      <w:r w:rsidRPr="00D63C76">
        <w:rPr>
          <w:sz w:val="24"/>
          <w:szCs w:val="24"/>
        </w:rPr>
        <w:t>rtējuma (Nutritional Risk Assessment 2002 [NRS-2002]) skalas punktu skaitu vismaz 3;</w:t>
      </w:r>
    </w:p>
    <w:p w14:paraId="79B7D24E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E43 Neprecizēta smaga olbaltumu un enerģētiska malnutrīcija un ar:</w:t>
      </w:r>
    </w:p>
    <w:p w14:paraId="1C0BE350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dokumentētu malnutrīciju, pielietojot Globālas malnutrīcijas līderības (Global Leadership </w:t>
      </w:r>
      <w:r w:rsidR="001877EA" w:rsidRPr="00D63C76">
        <w:rPr>
          <w:sz w:val="24"/>
          <w:szCs w:val="24"/>
        </w:rPr>
        <w:t xml:space="preserve">Initiative </w:t>
      </w:r>
      <w:r w:rsidRPr="00D63C76">
        <w:rPr>
          <w:sz w:val="24"/>
          <w:szCs w:val="24"/>
        </w:rPr>
        <w:t xml:space="preserve">on Malnutrition [GLIM]) diagnostiskus kritērijus – 2. pakāpe; </w:t>
      </w:r>
    </w:p>
    <w:p w14:paraId="0F1C39F9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dokumentētu enterālās barošanas neefektivitāti, izvērtējot to vismaz 1 mēnesi;</w:t>
      </w:r>
    </w:p>
    <w:p w14:paraId="48E8CAFE" w14:textId="77777777" w:rsidR="002B0EBD" w:rsidRPr="00D63C76" w:rsidRDefault="002B0EBD" w:rsidP="00D63C76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persona ar diagnozi - E44.0 Vidēji smaga olbaltumu un enerģētiska malnutrīcija un ar:</w:t>
      </w:r>
    </w:p>
    <w:p w14:paraId="25C03B55" w14:textId="77777777" w:rsidR="002B0EBD" w:rsidRPr="00D63C76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dokumentētu malnutrīciju, pielietojot Glob</w:t>
      </w:r>
      <w:r w:rsidR="0054010D" w:rsidRPr="00D63C76">
        <w:rPr>
          <w:sz w:val="24"/>
          <w:szCs w:val="24"/>
        </w:rPr>
        <w:t>ā</w:t>
      </w:r>
      <w:r w:rsidRPr="00D63C76">
        <w:rPr>
          <w:sz w:val="24"/>
          <w:szCs w:val="24"/>
        </w:rPr>
        <w:t>las malnutrīcijas līderības (Global Leadership</w:t>
      </w:r>
      <w:r w:rsidR="001877EA" w:rsidRPr="00D63C76">
        <w:rPr>
          <w:sz w:val="24"/>
          <w:szCs w:val="24"/>
        </w:rPr>
        <w:t xml:space="preserve"> Initiative</w:t>
      </w:r>
      <w:r w:rsidRPr="00D63C76">
        <w:rPr>
          <w:sz w:val="24"/>
          <w:szCs w:val="24"/>
        </w:rPr>
        <w:t xml:space="preserve"> on Malnutrition [GLIM]) diagnostiskus kritērijus – 1. pakāpe; </w:t>
      </w:r>
    </w:p>
    <w:p w14:paraId="5AB0E32D" w14:textId="77777777" w:rsidR="002B0EBD" w:rsidRDefault="002B0EBD" w:rsidP="00D63C76">
      <w:pPr>
        <w:pStyle w:val="ListParagraph"/>
        <w:numPr>
          <w:ilvl w:val="3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 xml:space="preserve"> dokumentēta enterālās barošanas neefektivitāt</w:t>
      </w:r>
      <w:r w:rsidR="00244B09" w:rsidRPr="00D63C76">
        <w:rPr>
          <w:sz w:val="24"/>
          <w:szCs w:val="24"/>
        </w:rPr>
        <w:t>e</w:t>
      </w:r>
      <w:r w:rsidRPr="00D63C76">
        <w:rPr>
          <w:sz w:val="24"/>
          <w:szCs w:val="24"/>
        </w:rPr>
        <w:t>, izvērtējot to vismaz 1 mēnesi.</w:t>
      </w:r>
    </w:p>
    <w:p w14:paraId="240A68EA" w14:textId="77777777" w:rsidR="00D63C76" w:rsidRPr="00D63C76" w:rsidRDefault="00D63C76" w:rsidP="00D63C76">
      <w:pPr>
        <w:pStyle w:val="ListParagraph"/>
        <w:ind w:left="2160"/>
        <w:jc w:val="both"/>
        <w:rPr>
          <w:sz w:val="24"/>
          <w:szCs w:val="24"/>
        </w:rPr>
      </w:pPr>
    </w:p>
    <w:p w14:paraId="32586918" w14:textId="444D8867" w:rsidR="5D56148F" w:rsidRDefault="5D56148F" w:rsidP="00D63C7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3C76">
        <w:rPr>
          <w:sz w:val="24"/>
          <w:szCs w:val="24"/>
        </w:rPr>
        <w:t>Sniegt uztura speciālista konsultācij</w:t>
      </w:r>
      <w:r w:rsidR="6319BF95" w:rsidRPr="00D63C76">
        <w:rPr>
          <w:sz w:val="24"/>
          <w:szCs w:val="24"/>
        </w:rPr>
        <w:t>as</w:t>
      </w:r>
      <w:r w:rsidRPr="00D63C76">
        <w:rPr>
          <w:sz w:val="24"/>
          <w:szCs w:val="24"/>
        </w:rPr>
        <w:t xml:space="preserve"> un nozīmēt </w:t>
      </w:r>
      <w:r w:rsidR="70F8C534" w:rsidRPr="00D63C76">
        <w:rPr>
          <w:sz w:val="24"/>
          <w:szCs w:val="24"/>
        </w:rPr>
        <w:t xml:space="preserve">medicīnisko papilduzturu, enterālās un parenterālās barošanas līdzekļus </w:t>
      </w:r>
      <w:r w:rsidR="2821B694" w:rsidRPr="00D63C76">
        <w:rPr>
          <w:sz w:val="24"/>
          <w:szCs w:val="24"/>
        </w:rPr>
        <w:t>atbilstoši medicīnisko indikāciju kritērijiem, kas ir atrunāti šīs kārtības 5. punktā</w:t>
      </w:r>
      <w:r w:rsidR="7C8D6660" w:rsidRPr="00D63C76">
        <w:rPr>
          <w:sz w:val="24"/>
          <w:szCs w:val="24"/>
        </w:rPr>
        <w:t>,</w:t>
      </w:r>
      <w:r w:rsidR="2821B694" w:rsidRPr="00D63C76">
        <w:rPr>
          <w:sz w:val="24"/>
          <w:szCs w:val="24"/>
        </w:rPr>
        <w:t xml:space="preserve"> </w:t>
      </w:r>
      <w:r w:rsidR="70F8C534" w:rsidRPr="00D63C76">
        <w:rPr>
          <w:sz w:val="24"/>
          <w:szCs w:val="24"/>
        </w:rPr>
        <w:t>var paliatīvās aprūpes mobilo komandu pakalpojumu sniedzēji pacienta dzīvesvietā</w:t>
      </w:r>
      <w:r w:rsidR="66007DAD" w:rsidRPr="00D63C76">
        <w:rPr>
          <w:sz w:val="24"/>
          <w:szCs w:val="24"/>
        </w:rPr>
        <w:t xml:space="preserve">. </w:t>
      </w:r>
      <w:r w:rsidR="2AD70243" w:rsidRPr="00D63C76">
        <w:rPr>
          <w:sz w:val="24"/>
          <w:szCs w:val="24"/>
        </w:rPr>
        <w:t>Pēc medicīniskā papilduztura, enterālās un parenterālās barošanas līdzekļu</w:t>
      </w:r>
      <w:r w:rsidR="0909A0BD" w:rsidRPr="00D63C76">
        <w:rPr>
          <w:sz w:val="24"/>
          <w:szCs w:val="24"/>
        </w:rPr>
        <w:t xml:space="preserve"> nozīmēšanas, paliatīvās aprūpes mobilo komandu pakalpojuma sniedzēji piesaka </w:t>
      </w:r>
      <w:r w:rsidR="21999167" w:rsidRPr="00D63C76">
        <w:rPr>
          <w:sz w:val="24"/>
          <w:szCs w:val="24"/>
        </w:rPr>
        <w:t>barošanas līdzekļus</w:t>
      </w:r>
      <w:r w:rsidR="635036C7" w:rsidRPr="00D63C76">
        <w:rPr>
          <w:sz w:val="24"/>
          <w:szCs w:val="24"/>
        </w:rPr>
        <w:t>,</w:t>
      </w:r>
      <w:r w:rsidR="21999167" w:rsidRPr="00D63C76">
        <w:rPr>
          <w:sz w:val="24"/>
          <w:szCs w:val="24"/>
        </w:rPr>
        <w:t xml:space="preserve"> aizpildot pieteikuma formu RAKUS mājas lapā </w:t>
      </w:r>
      <w:hyperlink r:id="rId11" w:history="1">
        <w:r w:rsidR="00D63C76" w:rsidRPr="00430041">
          <w:rPr>
            <w:rStyle w:val="Hyperlink"/>
            <w:sz w:val="24"/>
            <w:szCs w:val="24"/>
          </w:rPr>
          <w:t>https://aslimnica.lv/uztura-un-dietologijas-centrs/</w:t>
        </w:r>
      </w:hyperlink>
      <w:r w:rsidR="21999167" w:rsidRPr="00D63C76">
        <w:rPr>
          <w:sz w:val="24"/>
          <w:szCs w:val="24"/>
        </w:rPr>
        <w:t>.</w:t>
      </w:r>
    </w:p>
    <w:p w14:paraId="28AFDE40" w14:textId="77777777" w:rsidR="00D63C76" w:rsidRPr="00D63C76" w:rsidRDefault="00D63C76" w:rsidP="00D63C76">
      <w:pPr>
        <w:pStyle w:val="ListParagraph"/>
        <w:jc w:val="both"/>
        <w:rPr>
          <w:sz w:val="24"/>
          <w:szCs w:val="24"/>
        </w:rPr>
      </w:pPr>
    </w:p>
    <w:p w14:paraId="4F081122" w14:textId="374531B3" w:rsidR="004915D6" w:rsidRPr="00D63C76" w:rsidRDefault="00A93BFF" w:rsidP="00D63C76">
      <w:pPr>
        <w:pStyle w:val="NormalWeb"/>
        <w:numPr>
          <w:ilvl w:val="0"/>
          <w:numId w:val="1"/>
        </w:numPr>
        <w:spacing w:line="259" w:lineRule="auto"/>
        <w:contextualSpacing/>
        <w:jc w:val="both"/>
      </w:pPr>
      <w:r w:rsidRPr="00D63C76">
        <w:lastRenderedPageBreak/>
        <w:t>BKUS</w:t>
      </w:r>
      <w:r w:rsidR="00006357" w:rsidRPr="00D63C76">
        <w:t xml:space="preserve"> plāno ārstnieciskās pārtikas izlietojumu </w:t>
      </w:r>
      <w:r w:rsidR="009F619C" w:rsidRPr="00D63C76">
        <w:t>enterāli</w:t>
      </w:r>
      <w:r w:rsidR="00006357" w:rsidRPr="00D63C76">
        <w:t xml:space="preserve"> un parenterāli barojamie</w:t>
      </w:r>
      <w:r w:rsidR="00345F97" w:rsidRPr="00D63C76">
        <w:t>m</w:t>
      </w:r>
      <w:r w:rsidR="00006357" w:rsidRPr="00D63C76">
        <w:t xml:space="preserve"> </w:t>
      </w:r>
      <w:r w:rsidR="009F619C" w:rsidRPr="00D63C76">
        <w:t>pacientiem</w:t>
      </w:r>
      <w:r w:rsidR="00006357" w:rsidRPr="00D63C76">
        <w:t xml:space="preserve"> līdz </w:t>
      </w:r>
      <w:r w:rsidR="000F4EF1" w:rsidRPr="00D63C76">
        <w:t>24</w:t>
      </w:r>
      <w:r w:rsidR="00B11F83" w:rsidRPr="00D63C76">
        <w:t xml:space="preserve"> </w:t>
      </w:r>
      <w:r w:rsidR="3F38EB9F" w:rsidRPr="00D63C76">
        <w:t xml:space="preserve">pacienta </w:t>
      </w:r>
      <w:r w:rsidR="00006357" w:rsidRPr="00D63C76">
        <w:t>gadu vecuma</w:t>
      </w:r>
      <w:r w:rsidR="00345F97" w:rsidRPr="00D63C76">
        <w:t>m</w:t>
      </w:r>
      <w:r w:rsidR="004915D6" w:rsidRPr="00D63C76">
        <w:t>:</w:t>
      </w:r>
    </w:p>
    <w:p w14:paraId="7F44832F" w14:textId="0269AD98" w:rsidR="00D63C76" w:rsidRDefault="00A93BFF" w:rsidP="00D63C76">
      <w:pPr>
        <w:pStyle w:val="NormalWeb"/>
        <w:numPr>
          <w:ilvl w:val="1"/>
          <w:numId w:val="1"/>
        </w:numPr>
        <w:spacing w:line="259" w:lineRule="auto"/>
        <w:jc w:val="both"/>
      </w:pPr>
      <w:r w:rsidRPr="00D63C76">
        <w:t>BKU</w:t>
      </w:r>
      <w:r w:rsidR="00345F97" w:rsidRPr="00D63C76">
        <w:t xml:space="preserve">S </w:t>
      </w:r>
      <w:r w:rsidR="00006357" w:rsidRPr="00D63C76">
        <w:t>uztur cistiskās fibrozes un paliatīvās aprūpes kabinetā ārstējamo un aprūpējamo pacientu</w:t>
      </w:r>
      <w:r w:rsidR="5722749B" w:rsidRPr="00D63C76">
        <w:t xml:space="preserve"> sarakstus</w:t>
      </w:r>
      <w:r w:rsidR="3992AA05" w:rsidRPr="00D63C76">
        <w:t>, kā arī to hematonokoloģisko pacientu</w:t>
      </w:r>
      <w:r w:rsidR="0F04EC06" w:rsidRPr="00D63C76">
        <w:t xml:space="preserve"> sarakstu</w:t>
      </w:r>
      <w:r w:rsidR="3992AA05" w:rsidRPr="00D63C76">
        <w:t>, kas saņem</w:t>
      </w:r>
      <w:r w:rsidR="01407087" w:rsidRPr="00D63C76">
        <w:t xml:space="preserve"> ārstniecisko pārtiku</w:t>
      </w:r>
      <w:r w:rsidR="007417AB" w:rsidRPr="00D63C76">
        <w:t>;</w:t>
      </w:r>
    </w:p>
    <w:p w14:paraId="33DB7367" w14:textId="77777777" w:rsidR="00D63C76" w:rsidRDefault="007417AB" w:rsidP="00D63C76">
      <w:pPr>
        <w:pStyle w:val="NormalWeb"/>
        <w:numPr>
          <w:ilvl w:val="1"/>
          <w:numId w:val="1"/>
        </w:numPr>
        <w:spacing w:line="259" w:lineRule="auto"/>
        <w:jc w:val="both"/>
      </w:pPr>
      <w:r w:rsidRPr="00D63C76">
        <w:t>ā</w:t>
      </w:r>
      <w:r w:rsidR="00006357" w:rsidRPr="00D63C76">
        <w:t xml:space="preserve">rstniecisko pārtiku ir tiesīgi izrakstīt </w:t>
      </w:r>
      <w:r w:rsidR="00A93BFF" w:rsidRPr="00D63C76">
        <w:t>BKUS</w:t>
      </w:r>
      <w:r w:rsidR="00006357" w:rsidRPr="00D63C76">
        <w:t xml:space="preserve"> cistiskās fibrozes kabinet</w:t>
      </w:r>
      <w:r w:rsidR="009F619C" w:rsidRPr="00D63C76">
        <w:t xml:space="preserve">a, </w:t>
      </w:r>
      <w:r w:rsidR="00006357" w:rsidRPr="00D63C76">
        <w:t>paliatīvās aprūpes kabineta speciālisti</w:t>
      </w:r>
      <w:r w:rsidR="009F619C" w:rsidRPr="00D63C76">
        <w:t>, gastroenterologi un</w:t>
      </w:r>
      <w:r w:rsidR="00006357" w:rsidRPr="00D63C76">
        <w:t xml:space="preserve"> bērnu hematoonkologi. Ārstnieciskās pārtikas pirmreizējo izrakstīšanu veic </w:t>
      </w:r>
      <w:r w:rsidR="00A93BFF" w:rsidRPr="00D63C76">
        <w:t>BKUS</w:t>
      </w:r>
      <w:r w:rsidR="00006357" w:rsidRPr="00D63C76">
        <w:t xml:space="preserve"> nozīmētu speciālistu konsīlijs, kura sastāvā ir gastroenterologs vai dietologs, vai uztura speciālists</w:t>
      </w:r>
      <w:r w:rsidRPr="00D63C76">
        <w:t>;</w:t>
      </w:r>
    </w:p>
    <w:p w14:paraId="08C8D9E5" w14:textId="77777777" w:rsidR="00D63C76" w:rsidRDefault="007417AB" w:rsidP="00D63C76">
      <w:pPr>
        <w:pStyle w:val="NormalWeb"/>
        <w:numPr>
          <w:ilvl w:val="1"/>
          <w:numId w:val="1"/>
        </w:numPr>
        <w:spacing w:line="259" w:lineRule="auto"/>
        <w:jc w:val="both"/>
      </w:pPr>
      <w:r w:rsidRPr="00D63C76">
        <w:t>p</w:t>
      </w:r>
      <w:r w:rsidR="00006357" w:rsidRPr="00D63C76">
        <w:t>acientu konsultācijas ēdināšanas jautājumos un ārstnieciskās pārtikas daudzum</w:t>
      </w:r>
      <w:r w:rsidRPr="00D63C76">
        <w:t>a</w:t>
      </w:r>
      <w:r w:rsidR="00006357" w:rsidRPr="00D63C76">
        <w:t xml:space="preserve"> vai veida korekcijas veic bērnu gastroenterologs vai dietologs</w:t>
      </w:r>
      <w:r w:rsidRPr="00D63C76">
        <w:t>,</w:t>
      </w:r>
      <w:r w:rsidR="00006357" w:rsidRPr="00D63C76">
        <w:t xml:space="preserve"> vai  bērnu hematoonkologs</w:t>
      </w:r>
      <w:r w:rsidRPr="00D63C76">
        <w:t>,</w:t>
      </w:r>
      <w:r w:rsidR="00006357" w:rsidRPr="00D63C76">
        <w:t xml:space="preserve"> vai cistiskās fibrozes kabineta</w:t>
      </w:r>
      <w:r w:rsidRPr="00D63C76">
        <w:t xml:space="preserve"> speciālisti,</w:t>
      </w:r>
      <w:r w:rsidR="00006357" w:rsidRPr="00D63C76">
        <w:t xml:space="preserve"> vai paliatīvās aprūpes kabineta speciālisti</w:t>
      </w:r>
      <w:r w:rsidR="009F619C" w:rsidRPr="00D63C76">
        <w:t>;</w:t>
      </w:r>
    </w:p>
    <w:p w14:paraId="26DA42FE" w14:textId="77777777" w:rsidR="00D63C76" w:rsidRDefault="007417AB" w:rsidP="00D63C76">
      <w:pPr>
        <w:pStyle w:val="NormalWeb"/>
        <w:numPr>
          <w:ilvl w:val="1"/>
          <w:numId w:val="1"/>
        </w:numPr>
        <w:spacing w:line="259" w:lineRule="auto"/>
        <w:jc w:val="both"/>
      </w:pPr>
      <w:r w:rsidRPr="00D63C76">
        <w:t>ā</w:t>
      </w:r>
      <w:r w:rsidR="00006357" w:rsidRPr="00D63C76">
        <w:t xml:space="preserve">rstnieciskās pārtikas izrakstīšana notiek pamatojoties uz </w:t>
      </w:r>
      <w:r w:rsidR="599E1FD8" w:rsidRPr="00D63C76">
        <w:t>šādām</w:t>
      </w:r>
      <w:r w:rsidR="00006357" w:rsidRPr="00D63C76">
        <w:t xml:space="preserve"> indikācijām</w:t>
      </w:r>
      <w:r w:rsidR="009F619C" w:rsidRPr="00D63C76">
        <w:t>:</w:t>
      </w:r>
    </w:p>
    <w:p w14:paraId="42CFFDEF" w14:textId="77777777" w:rsidR="00D63C76" w:rsidRDefault="00851206" w:rsidP="00D63C76">
      <w:pPr>
        <w:pStyle w:val="NormalWeb"/>
        <w:numPr>
          <w:ilvl w:val="2"/>
          <w:numId w:val="1"/>
        </w:numPr>
        <w:spacing w:line="259" w:lineRule="auto"/>
        <w:jc w:val="both"/>
      </w:pPr>
      <w:r w:rsidRPr="00D63C76">
        <w:t>nepietiekošs svars:  bērniem svars zem 90% no nepieciešamā svara, attiecīgajam augumam, pieaugušajiem – ķermeņa masas indekss – zem 19;</w:t>
      </w:r>
    </w:p>
    <w:p w14:paraId="72434EE7" w14:textId="6809E1C3" w:rsidR="00662C9C" w:rsidRDefault="00851206" w:rsidP="00662C9C">
      <w:pPr>
        <w:pStyle w:val="NormalWeb"/>
        <w:numPr>
          <w:ilvl w:val="2"/>
          <w:numId w:val="1"/>
        </w:numPr>
        <w:spacing w:line="259" w:lineRule="auto"/>
        <w:jc w:val="both"/>
      </w:pPr>
      <w:r w:rsidRPr="00D63C76">
        <w:t>slimības izraisīta malnutrīcija, atsevišķu uzturvielu deficīts, disfāgija vai traucēti metabolie procesi, nespēja uzņemt ikdienas uzturu, nepieciešamība nodrošināt pacientu ar uzturvielām caur nazogastrālo zondi, nazoduodenālo zondi, gastrostomu, jejunostomu u.c.</w:t>
      </w:r>
      <w:r w:rsidR="00662C9C">
        <w:t>;</w:t>
      </w:r>
    </w:p>
    <w:p w14:paraId="5AAE1E9C" w14:textId="785F56B5" w:rsidR="009F619C" w:rsidRPr="00D63C76" w:rsidRDefault="007417AB" w:rsidP="00662C9C">
      <w:pPr>
        <w:pStyle w:val="NormalWeb"/>
        <w:numPr>
          <w:ilvl w:val="1"/>
          <w:numId w:val="1"/>
        </w:numPr>
        <w:spacing w:line="259" w:lineRule="auto"/>
        <w:jc w:val="both"/>
      </w:pPr>
      <w:r w:rsidRPr="00D63C76">
        <w:t>p</w:t>
      </w:r>
      <w:r w:rsidR="00006357" w:rsidRPr="00D63C76">
        <w:t>acienta stāvoklis tiek izvērtēts, atkarībā no slimības smaguma un norises gaitas, reizi trīs – sešos mēnešos, lai izskatītu jautājumu par ārstnieciskās pārtikas lietošanas atcelšanu, maiņu vai turpināšanu</w:t>
      </w:r>
      <w:r w:rsidR="00345F97" w:rsidRPr="00D63C76">
        <w:t>.</w:t>
      </w:r>
    </w:p>
    <w:p w14:paraId="21B36540" w14:textId="037E20D7" w:rsidR="0078548F" w:rsidRPr="00D63C76" w:rsidRDefault="0078548F" w:rsidP="00D63C76">
      <w:pPr>
        <w:pStyle w:val="NormalWeb"/>
        <w:spacing w:after="160" w:line="259" w:lineRule="auto"/>
        <w:contextualSpacing/>
        <w:jc w:val="both"/>
      </w:pPr>
    </w:p>
    <w:sectPr w:rsidR="0078548F" w:rsidRPr="00D63C76" w:rsidSect="00F96CF5">
      <w:headerReference w:type="default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A02EA" w14:textId="77777777" w:rsidR="00662BC1" w:rsidRDefault="00662BC1">
      <w:r>
        <w:separator/>
      </w:r>
    </w:p>
  </w:endnote>
  <w:endnote w:type="continuationSeparator" w:id="0">
    <w:p w14:paraId="08A38E42" w14:textId="77777777" w:rsidR="00662BC1" w:rsidRDefault="0066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DFC55" w14:paraId="26CE0DE7" w14:textId="77777777" w:rsidTr="581444E3">
      <w:trPr>
        <w:trHeight w:val="300"/>
      </w:trPr>
      <w:tc>
        <w:tcPr>
          <w:tcW w:w="3020" w:type="dxa"/>
        </w:tcPr>
        <w:p w14:paraId="6435516D" w14:textId="0CF3C6B6" w:rsidR="402DFC55" w:rsidRDefault="402DFC55" w:rsidP="402DFC55">
          <w:pPr>
            <w:pStyle w:val="NormalWeb"/>
            <w:ind w:left="-115"/>
            <w:rPr>
              <w:color w:val="1C1C1C"/>
            </w:rPr>
          </w:pPr>
        </w:p>
      </w:tc>
      <w:tc>
        <w:tcPr>
          <w:tcW w:w="3020" w:type="dxa"/>
        </w:tcPr>
        <w:p w14:paraId="69F842A8" w14:textId="2BC8F4C6" w:rsidR="402DFC55" w:rsidRDefault="402DFC55" w:rsidP="581444E3">
          <w:pPr>
            <w:pStyle w:val="Header"/>
            <w:jc w:val="center"/>
          </w:pPr>
        </w:p>
      </w:tc>
      <w:tc>
        <w:tcPr>
          <w:tcW w:w="3020" w:type="dxa"/>
        </w:tcPr>
        <w:p w14:paraId="78B0611B" w14:textId="622E8F88" w:rsidR="402DFC55" w:rsidRDefault="402DFC55" w:rsidP="581444E3">
          <w:pPr>
            <w:pStyle w:val="Header"/>
            <w:ind w:right="-115"/>
            <w:jc w:val="right"/>
          </w:pPr>
        </w:p>
      </w:tc>
    </w:tr>
  </w:tbl>
  <w:p w14:paraId="1291EC51" w14:textId="7893E714" w:rsidR="402DFC55" w:rsidRDefault="581444E3" w:rsidP="581444E3">
    <w:pPr>
      <w:pStyle w:val="NormalWeb"/>
      <w:ind w:left="-115"/>
      <w:rPr>
        <w:color w:val="1C1C1C"/>
      </w:rPr>
    </w:pPr>
    <w:r>
      <w:t xml:space="preserve">*piemēram, </w:t>
    </w:r>
    <w:r w:rsidRPr="581444E3">
      <w:rPr>
        <w:color w:val="1C1C1C"/>
      </w:rPr>
      <w:t>Paliatīvās aprūpes mobilās komandas pakalpojumi pacienta dzīvesvietā komandā ir ietverts uztura speciālists, reģionālo slimnīcu rehabilitācijas nodaļās strādā uztura speciālisti.</w:t>
    </w:r>
  </w:p>
  <w:p w14:paraId="0D85DC2B" w14:textId="0A95F44B" w:rsidR="402DFC55" w:rsidRDefault="402DFC55" w:rsidP="402DF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E844" w14:textId="77777777" w:rsidR="00662BC1" w:rsidRDefault="00662BC1">
      <w:r>
        <w:separator/>
      </w:r>
    </w:p>
  </w:footnote>
  <w:footnote w:type="continuationSeparator" w:id="0">
    <w:p w14:paraId="3669A2EC" w14:textId="77777777" w:rsidR="00662BC1" w:rsidRDefault="0066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DFC55" w14:paraId="63FD740A" w14:textId="77777777" w:rsidTr="581444E3">
      <w:trPr>
        <w:trHeight w:val="300"/>
      </w:trPr>
      <w:tc>
        <w:tcPr>
          <w:tcW w:w="3020" w:type="dxa"/>
        </w:tcPr>
        <w:p w14:paraId="170A2E6A" w14:textId="1A0BD7DE" w:rsidR="402DFC55" w:rsidRDefault="402DFC55" w:rsidP="581444E3">
          <w:pPr>
            <w:pStyle w:val="Header"/>
            <w:ind w:left="-115"/>
          </w:pPr>
        </w:p>
      </w:tc>
      <w:tc>
        <w:tcPr>
          <w:tcW w:w="3020" w:type="dxa"/>
        </w:tcPr>
        <w:p w14:paraId="44E10053" w14:textId="7CE34A9E" w:rsidR="402DFC55" w:rsidRDefault="402DFC55" w:rsidP="581444E3">
          <w:pPr>
            <w:pStyle w:val="Header"/>
            <w:jc w:val="center"/>
          </w:pPr>
        </w:p>
      </w:tc>
      <w:tc>
        <w:tcPr>
          <w:tcW w:w="3020" w:type="dxa"/>
        </w:tcPr>
        <w:p w14:paraId="6B18E415" w14:textId="1E0787D1" w:rsidR="402DFC55" w:rsidRDefault="402DFC55" w:rsidP="581444E3">
          <w:pPr>
            <w:pStyle w:val="Header"/>
            <w:ind w:right="-115"/>
            <w:jc w:val="right"/>
          </w:pPr>
        </w:p>
      </w:tc>
    </w:tr>
  </w:tbl>
  <w:p w14:paraId="4E73892B" w14:textId="213A4755" w:rsidR="402DFC55" w:rsidRDefault="402DFC55" w:rsidP="402DFC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0BE0"/>
    <w:multiLevelType w:val="hybridMultilevel"/>
    <w:tmpl w:val="94A4F7C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674D9"/>
    <w:multiLevelType w:val="hybridMultilevel"/>
    <w:tmpl w:val="E1AAE58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C7BED"/>
    <w:multiLevelType w:val="hybridMultilevel"/>
    <w:tmpl w:val="15BC0E3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43DF5"/>
    <w:multiLevelType w:val="multilevel"/>
    <w:tmpl w:val="28C473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C837DD6"/>
    <w:multiLevelType w:val="multilevel"/>
    <w:tmpl w:val="375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E93F33"/>
    <w:multiLevelType w:val="hybridMultilevel"/>
    <w:tmpl w:val="6ECE5F6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1C42B2"/>
    <w:multiLevelType w:val="multilevel"/>
    <w:tmpl w:val="375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362171410">
    <w:abstractNumId w:val="6"/>
  </w:num>
  <w:num w:numId="2" w16cid:durableId="461000809">
    <w:abstractNumId w:val="0"/>
  </w:num>
  <w:num w:numId="3" w16cid:durableId="275722984">
    <w:abstractNumId w:val="1"/>
  </w:num>
  <w:num w:numId="4" w16cid:durableId="698238780">
    <w:abstractNumId w:val="5"/>
  </w:num>
  <w:num w:numId="5" w16cid:durableId="236483005">
    <w:abstractNumId w:val="2"/>
  </w:num>
  <w:num w:numId="6" w16cid:durableId="506678325">
    <w:abstractNumId w:val="3"/>
  </w:num>
  <w:num w:numId="7" w16cid:durableId="1131631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2A"/>
    <w:rsid w:val="0000007D"/>
    <w:rsid w:val="00004458"/>
    <w:rsid w:val="00004FDB"/>
    <w:rsid w:val="00006357"/>
    <w:rsid w:val="00014774"/>
    <w:rsid w:val="00022F8F"/>
    <w:rsid w:val="00025C1D"/>
    <w:rsid w:val="0003116C"/>
    <w:rsid w:val="00033CD1"/>
    <w:rsid w:val="00052A34"/>
    <w:rsid w:val="00053BC6"/>
    <w:rsid w:val="000565D8"/>
    <w:rsid w:val="00056F05"/>
    <w:rsid w:val="00060327"/>
    <w:rsid w:val="00060B94"/>
    <w:rsid w:val="00066780"/>
    <w:rsid w:val="000676A1"/>
    <w:rsid w:val="00073A35"/>
    <w:rsid w:val="000804A6"/>
    <w:rsid w:val="00085027"/>
    <w:rsid w:val="000B1318"/>
    <w:rsid w:val="000B4E02"/>
    <w:rsid w:val="000B661E"/>
    <w:rsid w:val="000B6C17"/>
    <w:rsid w:val="000B7EB9"/>
    <w:rsid w:val="000C0D76"/>
    <w:rsid w:val="000D20B8"/>
    <w:rsid w:val="000D290C"/>
    <w:rsid w:val="000D29FA"/>
    <w:rsid w:val="000D30D4"/>
    <w:rsid w:val="000D548F"/>
    <w:rsid w:val="000D5F28"/>
    <w:rsid w:val="000E145B"/>
    <w:rsid w:val="000E3838"/>
    <w:rsid w:val="000E3896"/>
    <w:rsid w:val="000E4003"/>
    <w:rsid w:val="000E7FFB"/>
    <w:rsid w:val="000F4EF1"/>
    <w:rsid w:val="000F7FCA"/>
    <w:rsid w:val="00103416"/>
    <w:rsid w:val="00106109"/>
    <w:rsid w:val="00106EC2"/>
    <w:rsid w:val="00113FB4"/>
    <w:rsid w:val="00122BEA"/>
    <w:rsid w:val="00141427"/>
    <w:rsid w:val="0014416C"/>
    <w:rsid w:val="0014525C"/>
    <w:rsid w:val="00146030"/>
    <w:rsid w:val="001518E8"/>
    <w:rsid w:val="00171380"/>
    <w:rsid w:val="0018381D"/>
    <w:rsid w:val="00186CE2"/>
    <w:rsid w:val="001874CC"/>
    <w:rsid w:val="001877EA"/>
    <w:rsid w:val="00194991"/>
    <w:rsid w:val="00195354"/>
    <w:rsid w:val="00195504"/>
    <w:rsid w:val="001A0CF4"/>
    <w:rsid w:val="001A157A"/>
    <w:rsid w:val="001A2C10"/>
    <w:rsid w:val="001A5825"/>
    <w:rsid w:val="001A7C96"/>
    <w:rsid w:val="001A7ED4"/>
    <w:rsid w:val="001B62E5"/>
    <w:rsid w:val="001C4D07"/>
    <w:rsid w:val="001C7799"/>
    <w:rsid w:val="001D3C7A"/>
    <w:rsid w:val="001D555F"/>
    <w:rsid w:val="001D7B42"/>
    <w:rsid w:val="001E0909"/>
    <w:rsid w:val="001E4659"/>
    <w:rsid w:val="001E64E4"/>
    <w:rsid w:val="001F25A3"/>
    <w:rsid w:val="001F3046"/>
    <w:rsid w:val="001F32C2"/>
    <w:rsid w:val="002079E1"/>
    <w:rsid w:val="00211DFA"/>
    <w:rsid w:val="0021530F"/>
    <w:rsid w:val="00220292"/>
    <w:rsid w:val="0022623B"/>
    <w:rsid w:val="0022669E"/>
    <w:rsid w:val="0023060A"/>
    <w:rsid w:val="0023103C"/>
    <w:rsid w:val="00236BAE"/>
    <w:rsid w:val="0024205A"/>
    <w:rsid w:val="00244B09"/>
    <w:rsid w:val="00245D3F"/>
    <w:rsid w:val="00246692"/>
    <w:rsid w:val="00247397"/>
    <w:rsid w:val="0025368E"/>
    <w:rsid w:val="00254166"/>
    <w:rsid w:val="002729F9"/>
    <w:rsid w:val="00272B0F"/>
    <w:rsid w:val="002753B0"/>
    <w:rsid w:val="00280E09"/>
    <w:rsid w:val="00281CB4"/>
    <w:rsid w:val="002843C2"/>
    <w:rsid w:val="00284BE7"/>
    <w:rsid w:val="0028639C"/>
    <w:rsid w:val="0029102E"/>
    <w:rsid w:val="00292C30"/>
    <w:rsid w:val="002939EE"/>
    <w:rsid w:val="00295F7F"/>
    <w:rsid w:val="002B0EBD"/>
    <w:rsid w:val="002B0F34"/>
    <w:rsid w:val="002B1ABB"/>
    <w:rsid w:val="002B33AF"/>
    <w:rsid w:val="002B4C6A"/>
    <w:rsid w:val="002B7EC1"/>
    <w:rsid w:val="002C20A3"/>
    <w:rsid w:val="002C4718"/>
    <w:rsid w:val="002D268E"/>
    <w:rsid w:val="002D3D59"/>
    <w:rsid w:val="002E1983"/>
    <w:rsid w:val="002E5B1D"/>
    <w:rsid w:val="002E5F72"/>
    <w:rsid w:val="002F1FF4"/>
    <w:rsid w:val="00301280"/>
    <w:rsid w:val="00302C45"/>
    <w:rsid w:val="00306AA6"/>
    <w:rsid w:val="00307A37"/>
    <w:rsid w:val="00313E9A"/>
    <w:rsid w:val="00314EE4"/>
    <w:rsid w:val="003257F9"/>
    <w:rsid w:val="00331EA6"/>
    <w:rsid w:val="00340A45"/>
    <w:rsid w:val="003437CD"/>
    <w:rsid w:val="00345109"/>
    <w:rsid w:val="00345F97"/>
    <w:rsid w:val="003460FD"/>
    <w:rsid w:val="003613BE"/>
    <w:rsid w:val="0036220B"/>
    <w:rsid w:val="00362544"/>
    <w:rsid w:val="003655D0"/>
    <w:rsid w:val="003660AA"/>
    <w:rsid w:val="0037181F"/>
    <w:rsid w:val="003741FA"/>
    <w:rsid w:val="00375436"/>
    <w:rsid w:val="00377555"/>
    <w:rsid w:val="00384E48"/>
    <w:rsid w:val="00386388"/>
    <w:rsid w:val="003920EE"/>
    <w:rsid w:val="003972ED"/>
    <w:rsid w:val="003A1617"/>
    <w:rsid w:val="003A6DD4"/>
    <w:rsid w:val="003B3322"/>
    <w:rsid w:val="003B6446"/>
    <w:rsid w:val="003B7BD3"/>
    <w:rsid w:val="003C2A71"/>
    <w:rsid w:val="003C4AC6"/>
    <w:rsid w:val="003C512C"/>
    <w:rsid w:val="003C7308"/>
    <w:rsid w:val="003D29F4"/>
    <w:rsid w:val="003D33A7"/>
    <w:rsid w:val="003D3C2A"/>
    <w:rsid w:val="003D574B"/>
    <w:rsid w:val="003E14D8"/>
    <w:rsid w:val="003E4F7A"/>
    <w:rsid w:val="003F126E"/>
    <w:rsid w:val="003F2FCB"/>
    <w:rsid w:val="003F712F"/>
    <w:rsid w:val="004001EB"/>
    <w:rsid w:val="004044F0"/>
    <w:rsid w:val="00413846"/>
    <w:rsid w:val="004171C3"/>
    <w:rsid w:val="00426F0C"/>
    <w:rsid w:val="00426F29"/>
    <w:rsid w:val="004274FD"/>
    <w:rsid w:val="004413C8"/>
    <w:rsid w:val="00443C12"/>
    <w:rsid w:val="004458C5"/>
    <w:rsid w:val="00446DEC"/>
    <w:rsid w:val="00454B5F"/>
    <w:rsid w:val="00455282"/>
    <w:rsid w:val="0045549D"/>
    <w:rsid w:val="00455818"/>
    <w:rsid w:val="00455ABE"/>
    <w:rsid w:val="0046029E"/>
    <w:rsid w:val="00464340"/>
    <w:rsid w:val="00466BCB"/>
    <w:rsid w:val="00475523"/>
    <w:rsid w:val="00475D83"/>
    <w:rsid w:val="0048259A"/>
    <w:rsid w:val="00482C0C"/>
    <w:rsid w:val="004852E2"/>
    <w:rsid w:val="004915D6"/>
    <w:rsid w:val="004A3F49"/>
    <w:rsid w:val="004A7B0F"/>
    <w:rsid w:val="004B2BB2"/>
    <w:rsid w:val="004B3A76"/>
    <w:rsid w:val="004B4D47"/>
    <w:rsid w:val="004B64A3"/>
    <w:rsid w:val="004C0920"/>
    <w:rsid w:val="004C4588"/>
    <w:rsid w:val="004C6E02"/>
    <w:rsid w:val="004E41DA"/>
    <w:rsid w:val="004E7F8F"/>
    <w:rsid w:val="004F4918"/>
    <w:rsid w:val="00505A3A"/>
    <w:rsid w:val="0051694E"/>
    <w:rsid w:val="00533026"/>
    <w:rsid w:val="00537674"/>
    <w:rsid w:val="0054010D"/>
    <w:rsid w:val="00541FB9"/>
    <w:rsid w:val="005424E4"/>
    <w:rsid w:val="00543662"/>
    <w:rsid w:val="00551958"/>
    <w:rsid w:val="00560D0B"/>
    <w:rsid w:val="00560DD6"/>
    <w:rsid w:val="00573683"/>
    <w:rsid w:val="00577C45"/>
    <w:rsid w:val="00577CBB"/>
    <w:rsid w:val="00582D7E"/>
    <w:rsid w:val="005834AA"/>
    <w:rsid w:val="00583B58"/>
    <w:rsid w:val="00583E15"/>
    <w:rsid w:val="005847AB"/>
    <w:rsid w:val="00585914"/>
    <w:rsid w:val="005A2ED0"/>
    <w:rsid w:val="005A359F"/>
    <w:rsid w:val="005A5C25"/>
    <w:rsid w:val="005B39E1"/>
    <w:rsid w:val="005C1643"/>
    <w:rsid w:val="005C2EC3"/>
    <w:rsid w:val="005C3D5B"/>
    <w:rsid w:val="005D1BB5"/>
    <w:rsid w:val="005E2CD3"/>
    <w:rsid w:val="005E4163"/>
    <w:rsid w:val="005E56A1"/>
    <w:rsid w:val="005F4C41"/>
    <w:rsid w:val="005F5C28"/>
    <w:rsid w:val="005F7017"/>
    <w:rsid w:val="005F71C4"/>
    <w:rsid w:val="006019AA"/>
    <w:rsid w:val="00604F64"/>
    <w:rsid w:val="00611032"/>
    <w:rsid w:val="00612761"/>
    <w:rsid w:val="006127DC"/>
    <w:rsid w:val="0062433A"/>
    <w:rsid w:val="00626A74"/>
    <w:rsid w:val="00626BBB"/>
    <w:rsid w:val="006356B9"/>
    <w:rsid w:val="00635F16"/>
    <w:rsid w:val="00636123"/>
    <w:rsid w:val="0064481E"/>
    <w:rsid w:val="006466A2"/>
    <w:rsid w:val="00646E7A"/>
    <w:rsid w:val="00647A22"/>
    <w:rsid w:val="00650F5C"/>
    <w:rsid w:val="00652811"/>
    <w:rsid w:val="00655273"/>
    <w:rsid w:val="00662BC1"/>
    <w:rsid w:val="00662C9C"/>
    <w:rsid w:val="006772B9"/>
    <w:rsid w:val="006803CF"/>
    <w:rsid w:val="00686ECD"/>
    <w:rsid w:val="00687C2D"/>
    <w:rsid w:val="0069429E"/>
    <w:rsid w:val="006954BE"/>
    <w:rsid w:val="006A08E1"/>
    <w:rsid w:val="006A3390"/>
    <w:rsid w:val="006A7287"/>
    <w:rsid w:val="006C254A"/>
    <w:rsid w:val="006C5E5A"/>
    <w:rsid w:val="006D2C95"/>
    <w:rsid w:val="006D3121"/>
    <w:rsid w:val="006E2AED"/>
    <w:rsid w:val="006E306F"/>
    <w:rsid w:val="006E33AF"/>
    <w:rsid w:val="006E5627"/>
    <w:rsid w:val="006F1344"/>
    <w:rsid w:val="006F1D28"/>
    <w:rsid w:val="00702A87"/>
    <w:rsid w:val="00702C6D"/>
    <w:rsid w:val="00703D82"/>
    <w:rsid w:val="0070412D"/>
    <w:rsid w:val="00704A25"/>
    <w:rsid w:val="00710213"/>
    <w:rsid w:val="00710FF1"/>
    <w:rsid w:val="00711095"/>
    <w:rsid w:val="00712EF5"/>
    <w:rsid w:val="00713DB5"/>
    <w:rsid w:val="00716079"/>
    <w:rsid w:val="00720CA5"/>
    <w:rsid w:val="00734105"/>
    <w:rsid w:val="007344D4"/>
    <w:rsid w:val="007417AB"/>
    <w:rsid w:val="00741FB3"/>
    <w:rsid w:val="007429ED"/>
    <w:rsid w:val="00747D90"/>
    <w:rsid w:val="007516B5"/>
    <w:rsid w:val="00762318"/>
    <w:rsid w:val="007676E6"/>
    <w:rsid w:val="00771190"/>
    <w:rsid w:val="007725FB"/>
    <w:rsid w:val="00773E63"/>
    <w:rsid w:val="00774C13"/>
    <w:rsid w:val="00776DF8"/>
    <w:rsid w:val="00784EE7"/>
    <w:rsid w:val="0078548F"/>
    <w:rsid w:val="00785AA8"/>
    <w:rsid w:val="00787917"/>
    <w:rsid w:val="0079105E"/>
    <w:rsid w:val="0079502F"/>
    <w:rsid w:val="007A073D"/>
    <w:rsid w:val="007A5F63"/>
    <w:rsid w:val="007B3D0E"/>
    <w:rsid w:val="007C600D"/>
    <w:rsid w:val="007C77F4"/>
    <w:rsid w:val="007D1034"/>
    <w:rsid w:val="007E7FCD"/>
    <w:rsid w:val="007F1F07"/>
    <w:rsid w:val="007F683B"/>
    <w:rsid w:val="00801FCB"/>
    <w:rsid w:val="00803461"/>
    <w:rsid w:val="008076D6"/>
    <w:rsid w:val="008157EE"/>
    <w:rsid w:val="008172C1"/>
    <w:rsid w:val="00817D9E"/>
    <w:rsid w:val="00822ABB"/>
    <w:rsid w:val="008230C7"/>
    <w:rsid w:val="00824E84"/>
    <w:rsid w:val="008257AF"/>
    <w:rsid w:val="00825DA3"/>
    <w:rsid w:val="00840195"/>
    <w:rsid w:val="008429D2"/>
    <w:rsid w:val="00843932"/>
    <w:rsid w:val="00846BB0"/>
    <w:rsid w:val="00851206"/>
    <w:rsid w:val="008571DB"/>
    <w:rsid w:val="0086472D"/>
    <w:rsid w:val="00865551"/>
    <w:rsid w:val="008665A5"/>
    <w:rsid w:val="008675D6"/>
    <w:rsid w:val="00872A6C"/>
    <w:rsid w:val="008749B5"/>
    <w:rsid w:val="00885208"/>
    <w:rsid w:val="008868A2"/>
    <w:rsid w:val="00886CC6"/>
    <w:rsid w:val="00887256"/>
    <w:rsid w:val="0089295D"/>
    <w:rsid w:val="008957C0"/>
    <w:rsid w:val="00896C76"/>
    <w:rsid w:val="008A09CB"/>
    <w:rsid w:val="008A1E04"/>
    <w:rsid w:val="008A5989"/>
    <w:rsid w:val="008B1CCA"/>
    <w:rsid w:val="008B2B05"/>
    <w:rsid w:val="008B55B0"/>
    <w:rsid w:val="008C4F1A"/>
    <w:rsid w:val="008D01FE"/>
    <w:rsid w:val="008D5BA7"/>
    <w:rsid w:val="008D7A72"/>
    <w:rsid w:val="008E128D"/>
    <w:rsid w:val="008E3F66"/>
    <w:rsid w:val="008E4880"/>
    <w:rsid w:val="008F022A"/>
    <w:rsid w:val="008F439E"/>
    <w:rsid w:val="008F66A8"/>
    <w:rsid w:val="008F7B4C"/>
    <w:rsid w:val="008F7DC4"/>
    <w:rsid w:val="009074F3"/>
    <w:rsid w:val="009166E4"/>
    <w:rsid w:val="00927484"/>
    <w:rsid w:val="00930612"/>
    <w:rsid w:val="00937752"/>
    <w:rsid w:val="00952594"/>
    <w:rsid w:val="0095445B"/>
    <w:rsid w:val="009572A4"/>
    <w:rsid w:val="00965592"/>
    <w:rsid w:val="00971CE9"/>
    <w:rsid w:val="009806C2"/>
    <w:rsid w:val="00980C87"/>
    <w:rsid w:val="00997695"/>
    <w:rsid w:val="009B5619"/>
    <w:rsid w:val="009B7542"/>
    <w:rsid w:val="009B7D98"/>
    <w:rsid w:val="009C6590"/>
    <w:rsid w:val="009D152C"/>
    <w:rsid w:val="009E3B5B"/>
    <w:rsid w:val="009E497B"/>
    <w:rsid w:val="009E5C88"/>
    <w:rsid w:val="009F2519"/>
    <w:rsid w:val="009F619C"/>
    <w:rsid w:val="009F716E"/>
    <w:rsid w:val="00A00C9A"/>
    <w:rsid w:val="00A01ED7"/>
    <w:rsid w:val="00A024DF"/>
    <w:rsid w:val="00A05EEF"/>
    <w:rsid w:val="00A07788"/>
    <w:rsid w:val="00A11196"/>
    <w:rsid w:val="00A22B52"/>
    <w:rsid w:val="00A25B51"/>
    <w:rsid w:val="00A27EF0"/>
    <w:rsid w:val="00A31DEA"/>
    <w:rsid w:val="00A32265"/>
    <w:rsid w:val="00A348F0"/>
    <w:rsid w:val="00A40637"/>
    <w:rsid w:val="00A43A86"/>
    <w:rsid w:val="00A53F22"/>
    <w:rsid w:val="00A557FA"/>
    <w:rsid w:val="00A56B46"/>
    <w:rsid w:val="00A802CC"/>
    <w:rsid w:val="00A93BFF"/>
    <w:rsid w:val="00A97548"/>
    <w:rsid w:val="00AA37E2"/>
    <w:rsid w:val="00AA5696"/>
    <w:rsid w:val="00AA7358"/>
    <w:rsid w:val="00AA7C6F"/>
    <w:rsid w:val="00AB226C"/>
    <w:rsid w:val="00AB5436"/>
    <w:rsid w:val="00AB6EDC"/>
    <w:rsid w:val="00AB6F56"/>
    <w:rsid w:val="00AC0373"/>
    <w:rsid w:val="00AC0A46"/>
    <w:rsid w:val="00AD03C4"/>
    <w:rsid w:val="00AD2227"/>
    <w:rsid w:val="00AD22F7"/>
    <w:rsid w:val="00AD3ADB"/>
    <w:rsid w:val="00AD4002"/>
    <w:rsid w:val="00AE06DA"/>
    <w:rsid w:val="00AE2C47"/>
    <w:rsid w:val="00AE368C"/>
    <w:rsid w:val="00AE3E55"/>
    <w:rsid w:val="00AE44D1"/>
    <w:rsid w:val="00AF385E"/>
    <w:rsid w:val="00AF7E9B"/>
    <w:rsid w:val="00B00C43"/>
    <w:rsid w:val="00B0250F"/>
    <w:rsid w:val="00B073B5"/>
    <w:rsid w:val="00B11F83"/>
    <w:rsid w:val="00B2693A"/>
    <w:rsid w:val="00B31094"/>
    <w:rsid w:val="00B322AF"/>
    <w:rsid w:val="00B32DBD"/>
    <w:rsid w:val="00B61B35"/>
    <w:rsid w:val="00B6378A"/>
    <w:rsid w:val="00B71BE1"/>
    <w:rsid w:val="00B76F14"/>
    <w:rsid w:val="00B82DEC"/>
    <w:rsid w:val="00B8327B"/>
    <w:rsid w:val="00B84941"/>
    <w:rsid w:val="00B87D37"/>
    <w:rsid w:val="00B87DBA"/>
    <w:rsid w:val="00B951C0"/>
    <w:rsid w:val="00BB3C48"/>
    <w:rsid w:val="00BB54A1"/>
    <w:rsid w:val="00BD0116"/>
    <w:rsid w:val="00BD12C9"/>
    <w:rsid w:val="00BD1C49"/>
    <w:rsid w:val="00BD6F25"/>
    <w:rsid w:val="00BE3348"/>
    <w:rsid w:val="00C03387"/>
    <w:rsid w:val="00C0479A"/>
    <w:rsid w:val="00C05B4B"/>
    <w:rsid w:val="00C13317"/>
    <w:rsid w:val="00C134DC"/>
    <w:rsid w:val="00C13AD4"/>
    <w:rsid w:val="00C15A98"/>
    <w:rsid w:val="00C2129B"/>
    <w:rsid w:val="00C21FB6"/>
    <w:rsid w:val="00C22959"/>
    <w:rsid w:val="00C236BD"/>
    <w:rsid w:val="00C23FD2"/>
    <w:rsid w:val="00C26F70"/>
    <w:rsid w:val="00C27461"/>
    <w:rsid w:val="00C31B8D"/>
    <w:rsid w:val="00C32FA0"/>
    <w:rsid w:val="00C34320"/>
    <w:rsid w:val="00C42541"/>
    <w:rsid w:val="00C45199"/>
    <w:rsid w:val="00C46AEC"/>
    <w:rsid w:val="00C46F47"/>
    <w:rsid w:val="00C53902"/>
    <w:rsid w:val="00C56863"/>
    <w:rsid w:val="00C56BB3"/>
    <w:rsid w:val="00C57D93"/>
    <w:rsid w:val="00C63043"/>
    <w:rsid w:val="00C81A88"/>
    <w:rsid w:val="00C83DE5"/>
    <w:rsid w:val="00C963A5"/>
    <w:rsid w:val="00C967CA"/>
    <w:rsid w:val="00CA39AD"/>
    <w:rsid w:val="00CA733A"/>
    <w:rsid w:val="00CB1A35"/>
    <w:rsid w:val="00CB1D8A"/>
    <w:rsid w:val="00CB27F9"/>
    <w:rsid w:val="00CB68DB"/>
    <w:rsid w:val="00CC2AB3"/>
    <w:rsid w:val="00CC6B76"/>
    <w:rsid w:val="00CC77B8"/>
    <w:rsid w:val="00CE5B4B"/>
    <w:rsid w:val="00CE5ED9"/>
    <w:rsid w:val="00CE7F4C"/>
    <w:rsid w:val="00D02867"/>
    <w:rsid w:val="00D3171F"/>
    <w:rsid w:val="00D3279A"/>
    <w:rsid w:val="00D347AB"/>
    <w:rsid w:val="00D51022"/>
    <w:rsid w:val="00D51CDC"/>
    <w:rsid w:val="00D63C76"/>
    <w:rsid w:val="00D73C89"/>
    <w:rsid w:val="00D7761B"/>
    <w:rsid w:val="00D81AC1"/>
    <w:rsid w:val="00D83DC0"/>
    <w:rsid w:val="00D900AC"/>
    <w:rsid w:val="00D9176D"/>
    <w:rsid w:val="00D91FA4"/>
    <w:rsid w:val="00D93CC6"/>
    <w:rsid w:val="00D9756A"/>
    <w:rsid w:val="00DA0A91"/>
    <w:rsid w:val="00DA1FF8"/>
    <w:rsid w:val="00DA6F19"/>
    <w:rsid w:val="00DB0EF1"/>
    <w:rsid w:val="00DB415A"/>
    <w:rsid w:val="00DC5591"/>
    <w:rsid w:val="00DD19A6"/>
    <w:rsid w:val="00DD3306"/>
    <w:rsid w:val="00DD4ECF"/>
    <w:rsid w:val="00DD6237"/>
    <w:rsid w:val="00DF1386"/>
    <w:rsid w:val="00DF18BF"/>
    <w:rsid w:val="00E01017"/>
    <w:rsid w:val="00E0125E"/>
    <w:rsid w:val="00E05D14"/>
    <w:rsid w:val="00E07862"/>
    <w:rsid w:val="00E13184"/>
    <w:rsid w:val="00E1686A"/>
    <w:rsid w:val="00E21831"/>
    <w:rsid w:val="00E36C7A"/>
    <w:rsid w:val="00E420FF"/>
    <w:rsid w:val="00E437B3"/>
    <w:rsid w:val="00E54775"/>
    <w:rsid w:val="00E54EA1"/>
    <w:rsid w:val="00E62B5B"/>
    <w:rsid w:val="00E65ABD"/>
    <w:rsid w:val="00E671C2"/>
    <w:rsid w:val="00E72B5B"/>
    <w:rsid w:val="00E84F1D"/>
    <w:rsid w:val="00E86409"/>
    <w:rsid w:val="00E925CA"/>
    <w:rsid w:val="00E93540"/>
    <w:rsid w:val="00E95F71"/>
    <w:rsid w:val="00E97A74"/>
    <w:rsid w:val="00EA66AC"/>
    <w:rsid w:val="00EB4630"/>
    <w:rsid w:val="00EB58D9"/>
    <w:rsid w:val="00EB5A71"/>
    <w:rsid w:val="00EB7D6A"/>
    <w:rsid w:val="00EB7DCC"/>
    <w:rsid w:val="00EC01E0"/>
    <w:rsid w:val="00EC2F40"/>
    <w:rsid w:val="00ED3521"/>
    <w:rsid w:val="00ED4591"/>
    <w:rsid w:val="00EE007B"/>
    <w:rsid w:val="00EE20DB"/>
    <w:rsid w:val="00EE21CC"/>
    <w:rsid w:val="00EE2568"/>
    <w:rsid w:val="00EF499D"/>
    <w:rsid w:val="00EF6925"/>
    <w:rsid w:val="00EF6C6B"/>
    <w:rsid w:val="00F10542"/>
    <w:rsid w:val="00F20693"/>
    <w:rsid w:val="00F24562"/>
    <w:rsid w:val="00F26BEC"/>
    <w:rsid w:val="00F27C6A"/>
    <w:rsid w:val="00F3259B"/>
    <w:rsid w:val="00F36676"/>
    <w:rsid w:val="00F42B81"/>
    <w:rsid w:val="00F473FD"/>
    <w:rsid w:val="00F47C49"/>
    <w:rsid w:val="00F53EFA"/>
    <w:rsid w:val="00F61192"/>
    <w:rsid w:val="00F62AB2"/>
    <w:rsid w:val="00F66E84"/>
    <w:rsid w:val="00F81BE4"/>
    <w:rsid w:val="00F82B1B"/>
    <w:rsid w:val="00F83474"/>
    <w:rsid w:val="00F90417"/>
    <w:rsid w:val="00F91DBE"/>
    <w:rsid w:val="00F96CF5"/>
    <w:rsid w:val="00F97C2A"/>
    <w:rsid w:val="00FB56AB"/>
    <w:rsid w:val="00FC185A"/>
    <w:rsid w:val="00FC2777"/>
    <w:rsid w:val="00FC38D9"/>
    <w:rsid w:val="00FC7CF3"/>
    <w:rsid w:val="00FD0898"/>
    <w:rsid w:val="00FD217F"/>
    <w:rsid w:val="00FE0230"/>
    <w:rsid w:val="00FE6B20"/>
    <w:rsid w:val="00FF0183"/>
    <w:rsid w:val="00FF3053"/>
    <w:rsid w:val="00FF429C"/>
    <w:rsid w:val="00FF5829"/>
    <w:rsid w:val="0104D3B1"/>
    <w:rsid w:val="01407087"/>
    <w:rsid w:val="01519978"/>
    <w:rsid w:val="01930B87"/>
    <w:rsid w:val="0227F1F0"/>
    <w:rsid w:val="05EB98DD"/>
    <w:rsid w:val="0785906C"/>
    <w:rsid w:val="087BE2EE"/>
    <w:rsid w:val="0909A0BD"/>
    <w:rsid w:val="097470B0"/>
    <w:rsid w:val="0A7B9DA7"/>
    <w:rsid w:val="0B37662B"/>
    <w:rsid w:val="0DE43815"/>
    <w:rsid w:val="0E3D35C9"/>
    <w:rsid w:val="0F04EC06"/>
    <w:rsid w:val="11D98271"/>
    <w:rsid w:val="1232274D"/>
    <w:rsid w:val="131F5375"/>
    <w:rsid w:val="14C6B687"/>
    <w:rsid w:val="16045266"/>
    <w:rsid w:val="1850FE4C"/>
    <w:rsid w:val="18801D55"/>
    <w:rsid w:val="19265099"/>
    <w:rsid w:val="1B5FCEE3"/>
    <w:rsid w:val="1D673BBD"/>
    <w:rsid w:val="1E9E91BE"/>
    <w:rsid w:val="1FEC0A9A"/>
    <w:rsid w:val="217626E8"/>
    <w:rsid w:val="21999167"/>
    <w:rsid w:val="24182AE8"/>
    <w:rsid w:val="243197B5"/>
    <w:rsid w:val="255DD453"/>
    <w:rsid w:val="267BCA5E"/>
    <w:rsid w:val="270E6628"/>
    <w:rsid w:val="2731780E"/>
    <w:rsid w:val="2821B694"/>
    <w:rsid w:val="282C2229"/>
    <w:rsid w:val="293C45F5"/>
    <w:rsid w:val="2AAC309B"/>
    <w:rsid w:val="2AD70243"/>
    <w:rsid w:val="2D37B0F9"/>
    <w:rsid w:val="2DB2F3FF"/>
    <w:rsid w:val="2E741877"/>
    <w:rsid w:val="2F276F80"/>
    <w:rsid w:val="318A9CC9"/>
    <w:rsid w:val="339ABAA3"/>
    <w:rsid w:val="3436DE6A"/>
    <w:rsid w:val="34F867CF"/>
    <w:rsid w:val="357F8629"/>
    <w:rsid w:val="37E2D883"/>
    <w:rsid w:val="3992AA05"/>
    <w:rsid w:val="3A768C34"/>
    <w:rsid w:val="3AB85AE0"/>
    <w:rsid w:val="3B1AC4D2"/>
    <w:rsid w:val="3BF9027E"/>
    <w:rsid w:val="3C09D1BE"/>
    <w:rsid w:val="3C43B054"/>
    <w:rsid w:val="3C90D32A"/>
    <w:rsid w:val="3D44F72F"/>
    <w:rsid w:val="3E678C58"/>
    <w:rsid w:val="3F38EB9F"/>
    <w:rsid w:val="3F41A9C3"/>
    <w:rsid w:val="402DFC55"/>
    <w:rsid w:val="409DFDE0"/>
    <w:rsid w:val="41B0A9D8"/>
    <w:rsid w:val="41EC6608"/>
    <w:rsid w:val="484BBE83"/>
    <w:rsid w:val="48AB16AC"/>
    <w:rsid w:val="491B2B53"/>
    <w:rsid w:val="4E4F6118"/>
    <w:rsid w:val="50310247"/>
    <w:rsid w:val="5338AF24"/>
    <w:rsid w:val="569BEE0F"/>
    <w:rsid w:val="5722749B"/>
    <w:rsid w:val="57D6B2DE"/>
    <w:rsid w:val="57FD5576"/>
    <w:rsid w:val="581444E3"/>
    <w:rsid w:val="599E1FD8"/>
    <w:rsid w:val="5A707484"/>
    <w:rsid w:val="5AC1A2F0"/>
    <w:rsid w:val="5B2D9CF7"/>
    <w:rsid w:val="5B89E183"/>
    <w:rsid w:val="5CED0EDC"/>
    <w:rsid w:val="5D56148F"/>
    <w:rsid w:val="5F675175"/>
    <w:rsid w:val="5FBBFC2C"/>
    <w:rsid w:val="625BEBFF"/>
    <w:rsid w:val="6319BF95"/>
    <w:rsid w:val="635036C7"/>
    <w:rsid w:val="63FE91DB"/>
    <w:rsid w:val="6457714C"/>
    <w:rsid w:val="66007DAD"/>
    <w:rsid w:val="6688B74F"/>
    <w:rsid w:val="684D4C62"/>
    <w:rsid w:val="694D99E0"/>
    <w:rsid w:val="6980BE20"/>
    <w:rsid w:val="6B106088"/>
    <w:rsid w:val="6B652369"/>
    <w:rsid w:val="6BC028EB"/>
    <w:rsid w:val="6F0AD179"/>
    <w:rsid w:val="6FB3FCAB"/>
    <w:rsid w:val="70C03701"/>
    <w:rsid w:val="70F8C534"/>
    <w:rsid w:val="712E5588"/>
    <w:rsid w:val="718803F5"/>
    <w:rsid w:val="725CEB8E"/>
    <w:rsid w:val="72D77826"/>
    <w:rsid w:val="734AD144"/>
    <w:rsid w:val="74AAF169"/>
    <w:rsid w:val="750DEB49"/>
    <w:rsid w:val="756EAB68"/>
    <w:rsid w:val="7584DAF3"/>
    <w:rsid w:val="760D86CA"/>
    <w:rsid w:val="765D500F"/>
    <w:rsid w:val="76846E5D"/>
    <w:rsid w:val="775300AE"/>
    <w:rsid w:val="785E5E4D"/>
    <w:rsid w:val="78FD34A5"/>
    <w:rsid w:val="7C8D6660"/>
    <w:rsid w:val="7CAE1A5B"/>
    <w:rsid w:val="7CFFD3D1"/>
    <w:rsid w:val="7E2A4C39"/>
    <w:rsid w:val="7E4032BD"/>
    <w:rsid w:val="7E426F06"/>
    <w:rsid w:val="7E87A631"/>
    <w:rsid w:val="7EB48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006AA"/>
  <w15:chartTrackingRefBased/>
  <w15:docId w15:val="{D3306230-8E19-4B69-AF62-7DA448C9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BD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EB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B0EBD"/>
    <w:pPr>
      <w:ind w:left="720"/>
    </w:pPr>
  </w:style>
  <w:style w:type="paragraph" w:styleId="Revision">
    <w:name w:val="Revision"/>
    <w:hidden/>
    <w:uiPriority w:val="99"/>
    <w:semiHidden/>
    <w:rsid w:val="00C81A88"/>
    <w:rPr>
      <w:rFonts w:ascii="Times New Roman" w:eastAsia="Times New Roman" w:hAnsi="Times New Roman"/>
      <w:lang w:eastAsia="en-US"/>
    </w:rPr>
  </w:style>
  <w:style w:type="character" w:styleId="CommentReference">
    <w:name w:val="annotation reference"/>
    <w:uiPriority w:val="99"/>
    <w:semiHidden/>
    <w:unhideWhenUsed/>
    <w:rsid w:val="00C81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A88"/>
  </w:style>
  <w:style w:type="character" w:customStyle="1" w:styleId="CommentTextChar">
    <w:name w:val="Comment Text Char"/>
    <w:link w:val="CommentText"/>
    <w:uiPriority w:val="99"/>
    <w:rsid w:val="00C81A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18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5847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06357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tv213">
    <w:name w:val="tv213"/>
    <w:basedOn w:val="Normal"/>
    <w:rsid w:val="00006357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Header">
    <w:name w:val="header"/>
    <w:basedOn w:val="Normal"/>
    <w:uiPriority w:val="99"/>
    <w:unhideWhenUsed/>
    <w:rsid w:val="402DFC5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402DFC55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limnica.lv/uztura-un-dietologijas-centr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e%20vanaga\Desktop\Medic&#299;nisk&#257;%20uztura%20k&#257;rtiba_20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89bccc-4e81-46ed-be94-ebf6ca0044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8F138293426418FD697851C18F3E4" ma:contentTypeVersion="14" ma:contentTypeDescription="Create a new document." ma:contentTypeScope="" ma:versionID="0a4d7e401a4c8d8a605773137c638eea">
  <xsd:schema xmlns:xsd="http://www.w3.org/2001/XMLSchema" xmlns:xs="http://www.w3.org/2001/XMLSchema" xmlns:p="http://schemas.microsoft.com/office/2006/metadata/properties" xmlns:ns3="9121f90b-fd38-4d31-94c2-76e856711b43" xmlns:ns4="3c89bccc-4e81-46ed-be94-ebf6ca004418" targetNamespace="http://schemas.microsoft.com/office/2006/metadata/properties" ma:root="true" ma:fieldsID="8b20a5f9920b0aecc5b63ad9637364f1" ns3:_="" ns4:_="">
    <xsd:import namespace="9121f90b-fd38-4d31-94c2-76e856711b43"/>
    <xsd:import namespace="3c89bccc-4e81-46ed-be94-ebf6ca0044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f90b-fd38-4d31-94c2-76e856711b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bccc-4e81-46ed-be94-ebf6ca004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97B56-0537-4D46-80B2-553461771AE8}">
  <ds:schemaRefs>
    <ds:schemaRef ds:uri="http://schemas.openxmlformats.org/package/2006/metadata/core-properties"/>
    <ds:schemaRef ds:uri="3c89bccc-4e81-46ed-be94-ebf6ca004418"/>
    <ds:schemaRef ds:uri="http://purl.org/dc/dcmitype/"/>
    <ds:schemaRef ds:uri="http://schemas.microsoft.com/office/2006/metadata/properties"/>
    <ds:schemaRef ds:uri="http://schemas.microsoft.com/office/2006/documentManagement/types"/>
    <ds:schemaRef ds:uri="9121f90b-fd38-4d31-94c2-76e856711b43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4873E6-0B41-48E1-992F-563E1DB52B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DD13F2-2A0F-42FE-BCF6-787E8438B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B954A-307C-476A-BFE3-9D5267CCA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1f90b-fd38-4d31-94c2-76e856711b43"/>
    <ds:schemaRef ds:uri="3c89bccc-4e81-46ed-be94-ebf6ca00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bc9012d-628b-43d4-b190-8a730f7e1e96}" enabled="0" method="" siteId="{dbc9012d-628b-43d4-b190-8a730f7e1e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Medicīniskā uztura kārtiba_2025</Template>
  <TotalTime>11</TotalTime>
  <Pages>6</Pages>
  <Words>9261</Words>
  <Characters>5280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Vanaga</dc:creator>
  <cp:keywords/>
  <dc:description/>
  <cp:lastModifiedBy>Daiga Vulfa</cp:lastModifiedBy>
  <cp:revision>3</cp:revision>
  <dcterms:created xsi:type="dcterms:W3CDTF">2025-04-15T10:35:00Z</dcterms:created>
  <dcterms:modified xsi:type="dcterms:W3CDTF">2025-04-29T11:49:00Z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0x0101006068F138293426418FD697851C18F3E4</vt:lpwstr>
  </property>
</Properties>
</file>