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8C1ED" w14:textId="33F1E6DE" w:rsidR="00913C0F" w:rsidRDefault="00913C0F">
      <w:pPr>
        <w:spacing w:after="0" w:line="360" w:lineRule="auto"/>
        <w:jc w:val="both"/>
        <w:rPr>
          <w:rFonts w:ascii="Times New Roman" w:hAnsi="Times New Roman" w:cs="Times New Roman"/>
          <w:b/>
          <w:bCs/>
        </w:rPr>
      </w:pPr>
      <w:proofErr w:type="spellStart"/>
      <w:r w:rsidRPr="00913C0F">
        <w:rPr>
          <w:rFonts w:ascii="Times New Roman" w:hAnsi="Times New Roman" w:cs="Times New Roman"/>
          <w:b/>
          <w:bCs/>
        </w:rPr>
        <w:t>Vygart</w:t>
      </w:r>
      <w:proofErr w:type="spellEnd"/>
      <w:r w:rsidRPr="00913C0F">
        <w:rPr>
          <w:rFonts w:ascii="Times New Roman" w:hAnsi="Times New Roman" w:cs="Times New Roman"/>
          <w:b/>
          <w:bCs/>
        </w:rPr>
        <w:t xml:space="preserve"> (</w:t>
      </w:r>
      <w:proofErr w:type="spellStart"/>
      <w:r w:rsidRPr="00913C0F">
        <w:rPr>
          <w:rFonts w:ascii="Times New Roman" w:hAnsi="Times New Roman" w:cs="Times New Roman"/>
          <w:b/>
          <w:bCs/>
        </w:rPr>
        <w:t>Efgartigimodum</w:t>
      </w:r>
      <w:proofErr w:type="spellEnd"/>
      <w:r w:rsidRPr="00913C0F">
        <w:rPr>
          <w:rFonts w:ascii="Times New Roman" w:hAnsi="Times New Roman" w:cs="Times New Roman"/>
          <w:b/>
          <w:bCs/>
        </w:rPr>
        <w:t xml:space="preserve"> alfa) terapijas uzsākšanas un </w:t>
      </w:r>
      <w:r w:rsidR="000D7018">
        <w:rPr>
          <w:rFonts w:ascii="Times New Roman" w:hAnsi="Times New Roman" w:cs="Times New Roman"/>
          <w:b/>
          <w:bCs/>
        </w:rPr>
        <w:t>atcelšana</w:t>
      </w:r>
      <w:r w:rsidRPr="00913C0F">
        <w:rPr>
          <w:rFonts w:ascii="Times New Roman" w:hAnsi="Times New Roman" w:cs="Times New Roman"/>
          <w:b/>
          <w:bCs/>
        </w:rPr>
        <w:t xml:space="preserve">s kritēriji </w:t>
      </w:r>
      <w:proofErr w:type="spellStart"/>
      <w:r w:rsidRPr="00913C0F">
        <w:rPr>
          <w:rFonts w:ascii="Times New Roman" w:hAnsi="Times New Roman" w:cs="Times New Roman"/>
          <w:b/>
          <w:bCs/>
        </w:rPr>
        <w:t>Myasthenia</w:t>
      </w:r>
      <w:proofErr w:type="spellEnd"/>
      <w:r w:rsidRPr="00913C0F">
        <w:rPr>
          <w:rFonts w:ascii="Times New Roman" w:hAnsi="Times New Roman" w:cs="Times New Roman"/>
          <w:b/>
          <w:bCs/>
        </w:rPr>
        <w:t xml:space="preserve"> </w:t>
      </w:r>
      <w:proofErr w:type="spellStart"/>
      <w:r w:rsidRPr="00913C0F">
        <w:rPr>
          <w:rFonts w:ascii="Times New Roman" w:hAnsi="Times New Roman" w:cs="Times New Roman"/>
          <w:b/>
          <w:bCs/>
        </w:rPr>
        <w:t>gravis</w:t>
      </w:r>
      <w:proofErr w:type="spellEnd"/>
      <w:r w:rsidRPr="00913C0F">
        <w:rPr>
          <w:rFonts w:ascii="Times New Roman" w:hAnsi="Times New Roman" w:cs="Times New Roman"/>
          <w:b/>
          <w:bCs/>
        </w:rPr>
        <w:t xml:space="preserve"> pacientiem</w:t>
      </w:r>
    </w:p>
    <w:p w14:paraId="7CDC1385" w14:textId="1713AC07" w:rsidR="00913C0F" w:rsidRDefault="00913C0F" w:rsidP="00913C0F">
      <w:pPr>
        <w:spacing w:after="0" w:line="360" w:lineRule="auto"/>
        <w:ind w:firstLine="720"/>
        <w:jc w:val="both"/>
        <w:rPr>
          <w:rFonts w:ascii="Times New Roman" w:hAnsi="Times New Roman" w:cs="Times New Roman"/>
        </w:rPr>
      </w:pPr>
      <w:proofErr w:type="spellStart"/>
      <w:r>
        <w:rPr>
          <w:rFonts w:ascii="Times New Roman" w:hAnsi="Times New Roman" w:cs="Times New Roman"/>
        </w:rPr>
        <w:t>Vyvgart</w:t>
      </w:r>
      <w:proofErr w:type="spellEnd"/>
      <w:r>
        <w:rPr>
          <w:rFonts w:ascii="Times New Roman" w:hAnsi="Times New Roman" w:cs="Times New Roman"/>
        </w:rPr>
        <w:t xml:space="preserve"> ir zāles, kuras paredzētas pieaugušiem pacientiem ar </w:t>
      </w:r>
      <w:proofErr w:type="spellStart"/>
      <w:r>
        <w:rPr>
          <w:rFonts w:ascii="Times New Roman" w:hAnsi="Times New Roman" w:cs="Times New Roman"/>
        </w:rPr>
        <w:t>ģeneralizētu</w:t>
      </w:r>
      <w:proofErr w:type="spellEnd"/>
      <w:r>
        <w:rPr>
          <w:rFonts w:ascii="Times New Roman" w:hAnsi="Times New Roman" w:cs="Times New Roman"/>
        </w:rPr>
        <w:t xml:space="preserve"> </w:t>
      </w:r>
      <w:proofErr w:type="spellStart"/>
      <w:r>
        <w:rPr>
          <w:rFonts w:ascii="Times New Roman" w:hAnsi="Times New Roman" w:cs="Times New Roman"/>
        </w:rPr>
        <w:t>Myasthenia</w:t>
      </w:r>
      <w:proofErr w:type="spellEnd"/>
      <w:r>
        <w:rPr>
          <w:rFonts w:ascii="Times New Roman" w:hAnsi="Times New Roman" w:cs="Times New Roman"/>
        </w:rPr>
        <w:t xml:space="preserve"> </w:t>
      </w:r>
      <w:proofErr w:type="spellStart"/>
      <w:r>
        <w:rPr>
          <w:rFonts w:ascii="Times New Roman" w:hAnsi="Times New Roman" w:cs="Times New Roman"/>
        </w:rPr>
        <w:t>gravis</w:t>
      </w:r>
      <w:proofErr w:type="spellEnd"/>
      <w:r>
        <w:rPr>
          <w:rFonts w:ascii="Times New Roman" w:hAnsi="Times New Roman" w:cs="Times New Roman"/>
        </w:rPr>
        <w:t xml:space="preserve"> (</w:t>
      </w:r>
      <w:proofErr w:type="spellStart"/>
      <w:r>
        <w:rPr>
          <w:rFonts w:ascii="Times New Roman" w:hAnsi="Times New Roman" w:cs="Times New Roman"/>
        </w:rPr>
        <w:t>gMG</w:t>
      </w:r>
      <w:proofErr w:type="spellEnd"/>
      <w:r>
        <w:rPr>
          <w:rFonts w:ascii="Times New Roman" w:hAnsi="Times New Roman" w:cs="Times New Roman"/>
        </w:rPr>
        <w:t>), kuriem ir antivielas</w:t>
      </w:r>
      <w:r w:rsidR="004C2713">
        <w:rPr>
          <w:rFonts w:ascii="Times New Roman" w:hAnsi="Times New Roman" w:cs="Times New Roman"/>
        </w:rPr>
        <w:t xml:space="preserve"> </w:t>
      </w:r>
      <w:r>
        <w:rPr>
          <w:rFonts w:ascii="Times New Roman" w:hAnsi="Times New Roman" w:cs="Times New Roman"/>
        </w:rPr>
        <w:t xml:space="preserve">pret </w:t>
      </w:r>
      <w:proofErr w:type="spellStart"/>
      <w:r>
        <w:rPr>
          <w:rFonts w:ascii="Times New Roman" w:hAnsi="Times New Roman" w:cs="Times New Roman"/>
        </w:rPr>
        <w:t>acetilholīna</w:t>
      </w:r>
      <w:proofErr w:type="spellEnd"/>
      <w:r>
        <w:rPr>
          <w:rFonts w:ascii="Times New Roman" w:hAnsi="Times New Roman" w:cs="Times New Roman"/>
        </w:rPr>
        <w:t xml:space="preserve"> receptoru (</w:t>
      </w:r>
      <w:proofErr w:type="spellStart"/>
      <w:r>
        <w:rPr>
          <w:rFonts w:ascii="Times New Roman" w:hAnsi="Times New Roman" w:cs="Times New Roman"/>
        </w:rPr>
        <w:t>AChR</w:t>
      </w:r>
      <w:proofErr w:type="spellEnd"/>
      <w:r>
        <w:rPr>
          <w:rFonts w:ascii="Times New Roman" w:hAnsi="Times New Roman" w:cs="Times New Roman"/>
        </w:rPr>
        <w:t>).</w:t>
      </w:r>
    </w:p>
    <w:p w14:paraId="759DD9BC" w14:textId="6E9E8864" w:rsidR="005A0D77" w:rsidRPr="005A0D77" w:rsidRDefault="005A0D77" w:rsidP="005A0D77">
      <w:pPr>
        <w:spacing w:after="0" w:line="360" w:lineRule="auto"/>
        <w:ind w:firstLine="720"/>
        <w:jc w:val="both"/>
        <w:rPr>
          <w:rFonts w:ascii="Times New Roman" w:hAnsi="Times New Roman" w:cs="Times New Roman"/>
        </w:rPr>
      </w:pPr>
      <w:proofErr w:type="spellStart"/>
      <w:r w:rsidRPr="005A0D77">
        <w:rPr>
          <w:rFonts w:ascii="Times New Roman" w:hAnsi="Times New Roman" w:cs="Times New Roman"/>
          <w:b/>
          <w:bCs/>
        </w:rPr>
        <w:t>Vyvgart</w:t>
      </w:r>
      <w:proofErr w:type="spellEnd"/>
      <w:r w:rsidRPr="005A0D77">
        <w:rPr>
          <w:rFonts w:ascii="Times New Roman" w:hAnsi="Times New Roman" w:cs="Times New Roman"/>
          <w:b/>
          <w:bCs/>
        </w:rPr>
        <w:t xml:space="preserve"> (</w:t>
      </w:r>
      <w:proofErr w:type="spellStart"/>
      <w:r w:rsidRPr="005A0D77">
        <w:rPr>
          <w:rFonts w:ascii="Times New Roman" w:hAnsi="Times New Roman" w:cs="Times New Roman"/>
          <w:b/>
          <w:bCs/>
        </w:rPr>
        <w:t>efgartigimabs</w:t>
      </w:r>
      <w:proofErr w:type="spellEnd"/>
      <w:r w:rsidRPr="005A0D77">
        <w:rPr>
          <w:rFonts w:ascii="Times New Roman" w:hAnsi="Times New Roman" w:cs="Times New Roman"/>
          <w:b/>
          <w:bCs/>
        </w:rPr>
        <w:t>)</w:t>
      </w:r>
      <w:r w:rsidRPr="005A0D77">
        <w:rPr>
          <w:rFonts w:ascii="Times New Roman" w:hAnsi="Times New Roman" w:cs="Times New Roman"/>
        </w:rPr>
        <w:t xml:space="preserve"> ir cilvēka IgG1 antivielas fragment</w:t>
      </w:r>
      <w:r>
        <w:rPr>
          <w:rFonts w:ascii="Times New Roman" w:hAnsi="Times New Roman" w:cs="Times New Roman"/>
        </w:rPr>
        <w:t>s</w:t>
      </w:r>
      <w:r w:rsidRPr="005A0D77">
        <w:rPr>
          <w:rFonts w:ascii="Times New Roman" w:hAnsi="Times New Roman" w:cs="Times New Roman"/>
        </w:rPr>
        <w:t>, kas paredzēt</w:t>
      </w:r>
      <w:r>
        <w:rPr>
          <w:rFonts w:ascii="Times New Roman" w:hAnsi="Times New Roman" w:cs="Times New Roman"/>
        </w:rPr>
        <w:t>s</w:t>
      </w:r>
      <w:r w:rsidRPr="005A0D77">
        <w:rPr>
          <w:rFonts w:ascii="Times New Roman" w:hAnsi="Times New Roman" w:cs="Times New Roman"/>
        </w:rPr>
        <w:t xml:space="preserve"> </w:t>
      </w:r>
      <w:proofErr w:type="spellStart"/>
      <w:r w:rsidRPr="005A0D77">
        <w:rPr>
          <w:rFonts w:ascii="Times New Roman" w:hAnsi="Times New Roman" w:cs="Times New Roman"/>
        </w:rPr>
        <w:t>ģeneralizētas</w:t>
      </w:r>
      <w:proofErr w:type="spellEnd"/>
      <w:r w:rsidRPr="005A0D77">
        <w:rPr>
          <w:rFonts w:ascii="Times New Roman" w:hAnsi="Times New Roman" w:cs="Times New Roman"/>
        </w:rPr>
        <w:t xml:space="preserve"> </w:t>
      </w:r>
      <w:proofErr w:type="spellStart"/>
      <w:r>
        <w:rPr>
          <w:rFonts w:ascii="Times New Roman" w:hAnsi="Times New Roman" w:cs="Times New Roman"/>
        </w:rPr>
        <w:t>Myasthenia</w:t>
      </w:r>
      <w:proofErr w:type="spellEnd"/>
      <w:r>
        <w:rPr>
          <w:rFonts w:ascii="Times New Roman" w:hAnsi="Times New Roman" w:cs="Times New Roman"/>
        </w:rPr>
        <w:t xml:space="preserve"> </w:t>
      </w:r>
      <w:proofErr w:type="spellStart"/>
      <w:r>
        <w:rPr>
          <w:rFonts w:ascii="Times New Roman" w:hAnsi="Times New Roman" w:cs="Times New Roman"/>
        </w:rPr>
        <w:t>gravis</w:t>
      </w:r>
      <w:proofErr w:type="spellEnd"/>
      <w:r w:rsidRPr="005A0D77">
        <w:rPr>
          <w:rFonts w:ascii="Times New Roman" w:hAnsi="Times New Roman" w:cs="Times New Roman"/>
        </w:rPr>
        <w:t xml:space="preserve"> (</w:t>
      </w:r>
      <w:proofErr w:type="spellStart"/>
      <w:r w:rsidRPr="005A0D77">
        <w:rPr>
          <w:rFonts w:ascii="Times New Roman" w:hAnsi="Times New Roman" w:cs="Times New Roman"/>
        </w:rPr>
        <w:t>gMG</w:t>
      </w:r>
      <w:proofErr w:type="spellEnd"/>
      <w:r w:rsidRPr="005A0D77">
        <w:rPr>
          <w:rFonts w:ascii="Times New Roman" w:hAnsi="Times New Roman" w:cs="Times New Roman"/>
        </w:rPr>
        <w:t xml:space="preserve">) ārstēšanai. Tā iedarbojas, mērķējot uz </w:t>
      </w:r>
      <w:proofErr w:type="spellStart"/>
      <w:r w:rsidRPr="005A0D77">
        <w:rPr>
          <w:rFonts w:ascii="Times New Roman" w:hAnsi="Times New Roman" w:cs="Times New Roman"/>
          <w:b/>
          <w:bCs/>
        </w:rPr>
        <w:t>neonatālo</w:t>
      </w:r>
      <w:proofErr w:type="spellEnd"/>
      <w:r w:rsidRPr="005A0D77">
        <w:rPr>
          <w:rFonts w:ascii="Times New Roman" w:hAnsi="Times New Roman" w:cs="Times New Roman"/>
          <w:b/>
          <w:bCs/>
        </w:rPr>
        <w:t xml:space="preserve"> </w:t>
      </w:r>
      <w:proofErr w:type="spellStart"/>
      <w:r w:rsidRPr="005A0D77">
        <w:rPr>
          <w:rFonts w:ascii="Times New Roman" w:hAnsi="Times New Roman" w:cs="Times New Roman"/>
          <w:b/>
          <w:bCs/>
        </w:rPr>
        <w:t>Fc</w:t>
      </w:r>
      <w:proofErr w:type="spellEnd"/>
      <w:r w:rsidRPr="005A0D77">
        <w:rPr>
          <w:rFonts w:ascii="Times New Roman" w:hAnsi="Times New Roman" w:cs="Times New Roman"/>
          <w:b/>
          <w:bCs/>
        </w:rPr>
        <w:t xml:space="preserve"> receptoru (</w:t>
      </w:r>
      <w:proofErr w:type="spellStart"/>
      <w:r w:rsidRPr="005A0D77">
        <w:rPr>
          <w:rFonts w:ascii="Times New Roman" w:hAnsi="Times New Roman" w:cs="Times New Roman"/>
          <w:b/>
          <w:bCs/>
        </w:rPr>
        <w:t>FcRn</w:t>
      </w:r>
      <w:proofErr w:type="spellEnd"/>
      <w:r w:rsidRPr="005A0D77">
        <w:rPr>
          <w:rFonts w:ascii="Times New Roman" w:hAnsi="Times New Roman" w:cs="Times New Roman"/>
          <w:b/>
          <w:bCs/>
        </w:rPr>
        <w:t>)</w:t>
      </w:r>
      <w:r w:rsidRPr="005A0D77">
        <w:rPr>
          <w:rFonts w:ascii="Times New Roman" w:hAnsi="Times New Roman" w:cs="Times New Roman"/>
        </w:rPr>
        <w:t>.</w:t>
      </w:r>
    </w:p>
    <w:p w14:paraId="43B6E866" w14:textId="77777777" w:rsidR="005A0D77" w:rsidRPr="005A0D77" w:rsidRDefault="005A0D77" w:rsidP="005A0D77">
      <w:pPr>
        <w:spacing w:after="0" w:line="360" w:lineRule="auto"/>
        <w:jc w:val="both"/>
        <w:rPr>
          <w:rFonts w:ascii="Times New Roman" w:hAnsi="Times New Roman" w:cs="Times New Roman"/>
        </w:rPr>
      </w:pPr>
      <w:proofErr w:type="spellStart"/>
      <w:r w:rsidRPr="005A0D77">
        <w:rPr>
          <w:rFonts w:ascii="Times New Roman" w:hAnsi="Times New Roman" w:cs="Times New Roman"/>
        </w:rPr>
        <w:t>FcRn</w:t>
      </w:r>
      <w:proofErr w:type="spellEnd"/>
      <w:r w:rsidRPr="005A0D77">
        <w:rPr>
          <w:rFonts w:ascii="Times New Roman" w:hAnsi="Times New Roman" w:cs="Times New Roman"/>
        </w:rPr>
        <w:t xml:space="preserve"> receptoriem ir svarīga loma patogēno </w:t>
      </w:r>
      <w:proofErr w:type="spellStart"/>
      <w:r w:rsidRPr="005A0D77">
        <w:rPr>
          <w:rFonts w:ascii="Times New Roman" w:hAnsi="Times New Roman" w:cs="Times New Roman"/>
        </w:rPr>
        <w:t>IgG</w:t>
      </w:r>
      <w:proofErr w:type="spellEnd"/>
      <w:r w:rsidRPr="005A0D77">
        <w:rPr>
          <w:rFonts w:ascii="Times New Roman" w:hAnsi="Times New Roman" w:cs="Times New Roman"/>
        </w:rPr>
        <w:t xml:space="preserve"> (imūnglobulīnu G) antivielu līmeņa uzturēšanā asinīs. Pacientiem ar </w:t>
      </w:r>
      <w:proofErr w:type="spellStart"/>
      <w:r w:rsidRPr="005A0D77">
        <w:rPr>
          <w:rFonts w:ascii="Times New Roman" w:hAnsi="Times New Roman" w:cs="Times New Roman"/>
        </w:rPr>
        <w:t>gMG</w:t>
      </w:r>
      <w:proofErr w:type="spellEnd"/>
      <w:r w:rsidRPr="005A0D77">
        <w:rPr>
          <w:rFonts w:ascii="Times New Roman" w:hAnsi="Times New Roman" w:cs="Times New Roman"/>
        </w:rPr>
        <w:t xml:space="preserve"> šīs patogēnās antivielas uzbrūk muskuļu un nervu savienojumu vietām, izraisot muskuļu vājumu. </w:t>
      </w:r>
      <w:proofErr w:type="spellStart"/>
      <w:r w:rsidRPr="005A0D77">
        <w:rPr>
          <w:rFonts w:ascii="Times New Roman" w:hAnsi="Times New Roman" w:cs="Times New Roman"/>
        </w:rPr>
        <w:t>Vyvgart</w:t>
      </w:r>
      <w:proofErr w:type="spellEnd"/>
      <w:r w:rsidRPr="005A0D77">
        <w:rPr>
          <w:rFonts w:ascii="Times New Roman" w:hAnsi="Times New Roman" w:cs="Times New Roman"/>
        </w:rPr>
        <w:t xml:space="preserve"> saistās ar </w:t>
      </w:r>
      <w:proofErr w:type="spellStart"/>
      <w:r w:rsidRPr="005A0D77">
        <w:rPr>
          <w:rFonts w:ascii="Times New Roman" w:hAnsi="Times New Roman" w:cs="Times New Roman"/>
        </w:rPr>
        <w:t>FcRn</w:t>
      </w:r>
      <w:proofErr w:type="spellEnd"/>
      <w:r w:rsidRPr="005A0D77">
        <w:rPr>
          <w:rFonts w:ascii="Times New Roman" w:hAnsi="Times New Roman" w:cs="Times New Roman"/>
        </w:rPr>
        <w:t xml:space="preserve"> receptoriem, bloķējot tos. Rezultātā samazinās patogēno </w:t>
      </w:r>
      <w:proofErr w:type="spellStart"/>
      <w:r w:rsidRPr="005A0D77">
        <w:rPr>
          <w:rFonts w:ascii="Times New Roman" w:hAnsi="Times New Roman" w:cs="Times New Roman"/>
        </w:rPr>
        <w:t>IgG</w:t>
      </w:r>
      <w:proofErr w:type="spellEnd"/>
      <w:r w:rsidRPr="005A0D77">
        <w:rPr>
          <w:rFonts w:ascii="Times New Roman" w:hAnsi="Times New Roman" w:cs="Times New Roman"/>
        </w:rPr>
        <w:t xml:space="preserve"> antivielu </w:t>
      </w:r>
      <w:proofErr w:type="spellStart"/>
      <w:r w:rsidRPr="005A0D77">
        <w:rPr>
          <w:rFonts w:ascii="Times New Roman" w:hAnsi="Times New Roman" w:cs="Times New Roman"/>
        </w:rPr>
        <w:t>recirkulācija</w:t>
      </w:r>
      <w:proofErr w:type="spellEnd"/>
      <w:r w:rsidRPr="005A0D77">
        <w:rPr>
          <w:rFonts w:ascii="Times New Roman" w:hAnsi="Times New Roman" w:cs="Times New Roman"/>
        </w:rPr>
        <w:t xml:space="preserve"> un tiek veicināta to noārdīšanās, tādējādi mazinot </w:t>
      </w:r>
      <w:proofErr w:type="spellStart"/>
      <w:r w:rsidRPr="005A0D77">
        <w:rPr>
          <w:rFonts w:ascii="Times New Roman" w:hAnsi="Times New Roman" w:cs="Times New Roman"/>
        </w:rPr>
        <w:t>autoimūno</w:t>
      </w:r>
      <w:proofErr w:type="spellEnd"/>
      <w:r w:rsidRPr="005A0D77">
        <w:rPr>
          <w:rFonts w:ascii="Times New Roman" w:hAnsi="Times New Roman" w:cs="Times New Roman"/>
        </w:rPr>
        <w:t xml:space="preserve"> reakciju, kas izraisa slimības simptomus.</w:t>
      </w:r>
    </w:p>
    <w:p w14:paraId="5AFE687F" w14:textId="77777777" w:rsidR="005A0D77" w:rsidRPr="005A0D77" w:rsidRDefault="005A0D77" w:rsidP="005A0D77">
      <w:pPr>
        <w:spacing w:after="0" w:line="360" w:lineRule="auto"/>
        <w:jc w:val="both"/>
        <w:rPr>
          <w:rFonts w:ascii="Times New Roman" w:hAnsi="Times New Roman" w:cs="Times New Roman"/>
        </w:rPr>
      </w:pPr>
      <w:r w:rsidRPr="005A0D77">
        <w:rPr>
          <w:rFonts w:ascii="Times New Roman" w:hAnsi="Times New Roman" w:cs="Times New Roman"/>
        </w:rPr>
        <w:t xml:space="preserve">Klīniskajos pētījumos </w:t>
      </w:r>
      <w:proofErr w:type="spellStart"/>
      <w:r w:rsidRPr="005A0D77">
        <w:rPr>
          <w:rFonts w:ascii="Times New Roman" w:hAnsi="Times New Roman" w:cs="Times New Roman"/>
        </w:rPr>
        <w:t>Vyvgart</w:t>
      </w:r>
      <w:proofErr w:type="spellEnd"/>
      <w:r w:rsidRPr="005A0D77">
        <w:rPr>
          <w:rFonts w:ascii="Times New Roman" w:hAnsi="Times New Roman" w:cs="Times New Roman"/>
        </w:rPr>
        <w:t xml:space="preserve"> ir pierādījis ievērojamu efektivitāti, uzlabojot dzīves kvalitāti un samazinot slimības smagumu. Tas mazina tādus simptomus kā muskuļu vājums, grūtības runāt, rīt un kustēties, kas bieži vien būtiski ierobežo pacienta ikdienas aktivitātes. Šī terapija palīdz samazināt slimības uzliesmojumu biežumu un smagumu, uzlabojot ilgtermiņa prognozi pacientiem ar </w:t>
      </w:r>
      <w:proofErr w:type="spellStart"/>
      <w:r w:rsidRPr="005A0D77">
        <w:rPr>
          <w:rFonts w:ascii="Times New Roman" w:hAnsi="Times New Roman" w:cs="Times New Roman"/>
        </w:rPr>
        <w:t>ģeneralizētu</w:t>
      </w:r>
      <w:proofErr w:type="spellEnd"/>
      <w:r w:rsidRPr="005A0D77">
        <w:rPr>
          <w:rFonts w:ascii="Times New Roman" w:hAnsi="Times New Roman" w:cs="Times New Roman"/>
        </w:rPr>
        <w:t xml:space="preserve"> </w:t>
      </w:r>
      <w:proofErr w:type="spellStart"/>
      <w:r w:rsidRPr="005A0D77">
        <w:rPr>
          <w:rFonts w:ascii="Times New Roman" w:hAnsi="Times New Roman" w:cs="Times New Roman"/>
        </w:rPr>
        <w:t>miastēniju</w:t>
      </w:r>
      <w:proofErr w:type="spellEnd"/>
      <w:r w:rsidRPr="005A0D77">
        <w:rPr>
          <w:rFonts w:ascii="Times New Roman" w:hAnsi="Times New Roman" w:cs="Times New Roman"/>
        </w:rPr>
        <w:t xml:space="preserve"> </w:t>
      </w:r>
      <w:proofErr w:type="spellStart"/>
      <w:r w:rsidRPr="005A0D77">
        <w:rPr>
          <w:rFonts w:ascii="Times New Roman" w:hAnsi="Times New Roman" w:cs="Times New Roman"/>
        </w:rPr>
        <w:t>gravis</w:t>
      </w:r>
      <w:proofErr w:type="spellEnd"/>
      <w:r w:rsidRPr="005A0D77">
        <w:rPr>
          <w:rFonts w:ascii="Times New Roman" w:hAnsi="Times New Roman" w:cs="Times New Roman"/>
        </w:rPr>
        <w:t>.</w:t>
      </w:r>
    </w:p>
    <w:p w14:paraId="6091436A" w14:textId="6268B82D" w:rsidR="00913C0F" w:rsidRPr="005A0D77" w:rsidRDefault="005A0D77">
      <w:pPr>
        <w:spacing w:after="0" w:line="360" w:lineRule="auto"/>
        <w:jc w:val="both"/>
        <w:rPr>
          <w:rFonts w:ascii="Times New Roman" w:hAnsi="Times New Roman" w:cs="Times New Roman"/>
          <w:b/>
          <w:bCs/>
        </w:rPr>
      </w:pPr>
      <w:proofErr w:type="spellStart"/>
      <w:r w:rsidRPr="005A0D77">
        <w:rPr>
          <w:rFonts w:ascii="Times New Roman" w:hAnsi="Times New Roman" w:cs="Times New Roman"/>
          <w:b/>
          <w:bCs/>
        </w:rPr>
        <w:t>Vyvgart</w:t>
      </w:r>
      <w:proofErr w:type="spellEnd"/>
      <w:r w:rsidRPr="005A0D77">
        <w:rPr>
          <w:rFonts w:ascii="Times New Roman" w:hAnsi="Times New Roman" w:cs="Times New Roman"/>
          <w:b/>
          <w:bCs/>
        </w:rPr>
        <w:t xml:space="preserve"> lietošana:</w:t>
      </w:r>
    </w:p>
    <w:p w14:paraId="38A432A6" w14:textId="308A42D6" w:rsidR="005A0D77" w:rsidRDefault="005A0D77">
      <w:pPr>
        <w:spacing w:after="0" w:line="360" w:lineRule="auto"/>
        <w:jc w:val="both"/>
        <w:rPr>
          <w:rFonts w:ascii="Times New Roman" w:hAnsi="Times New Roman" w:cs="Times New Roman"/>
        </w:rPr>
      </w:pPr>
      <w:r w:rsidRPr="005A0D77">
        <w:rPr>
          <w:rFonts w:ascii="Times New Roman" w:hAnsi="Times New Roman" w:cs="Times New Roman"/>
        </w:rPr>
        <w:t>Ieteicamā deva ir 10 mg/kg, ko ievada 1 stundu ilgā intravenozā infūzijā ciklu veidā pa vienai infūzijai nedēļā 4 nedēļu garumā. Nākamie ārstēšanas cikli jāveic atbilstoši klīniskajam novērtējumam. Ārstēšanas ciklu biežums dažādiem pacientiem var atšķirties</w:t>
      </w:r>
      <w:r>
        <w:rPr>
          <w:rFonts w:ascii="Times New Roman" w:hAnsi="Times New Roman" w:cs="Times New Roman"/>
        </w:rPr>
        <w:t xml:space="preserve">. </w:t>
      </w:r>
      <w:r w:rsidRPr="005A0D77">
        <w:rPr>
          <w:rFonts w:ascii="Times New Roman" w:hAnsi="Times New Roman" w:cs="Times New Roman"/>
        </w:rPr>
        <w:t>Pacientiem ar ķermeņa masu 120 kg vai lielāku ieteicamā deva ir 1 200 mg (3 flakoni) vienā infūzijā</w:t>
      </w:r>
      <w:r>
        <w:rPr>
          <w:rFonts w:ascii="Times New Roman" w:hAnsi="Times New Roman" w:cs="Times New Roman"/>
        </w:rPr>
        <w:t>.</w:t>
      </w:r>
    </w:p>
    <w:p w14:paraId="115D8F6F" w14:textId="77777777" w:rsidR="005A0D77" w:rsidRPr="00913C0F" w:rsidRDefault="005A0D77">
      <w:pPr>
        <w:spacing w:after="0" w:line="360" w:lineRule="auto"/>
        <w:jc w:val="both"/>
        <w:rPr>
          <w:rFonts w:ascii="Times New Roman" w:hAnsi="Times New Roman" w:cs="Times New Roman"/>
        </w:rPr>
      </w:pPr>
    </w:p>
    <w:p w14:paraId="2FFE46AC" w14:textId="5FA92762" w:rsidR="00457702" w:rsidRPr="005A0D77" w:rsidRDefault="00AF1997">
      <w:pPr>
        <w:spacing w:after="0" w:line="360" w:lineRule="auto"/>
        <w:jc w:val="both"/>
        <w:rPr>
          <w:rFonts w:ascii="Times New Roman" w:hAnsi="Times New Roman" w:cs="Times New Roman"/>
          <w:b/>
          <w:bCs/>
          <w:u w:val="single"/>
        </w:rPr>
      </w:pPr>
      <w:r w:rsidRPr="005A0D77">
        <w:rPr>
          <w:rFonts w:ascii="Times New Roman" w:hAnsi="Times New Roman" w:cs="Times New Roman"/>
          <w:b/>
          <w:bCs/>
          <w:u w:val="single"/>
        </w:rPr>
        <w:t xml:space="preserve">Kritēriji </w:t>
      </w:r>
      <w:proofErr w:type="spellStart"/>
      <w:r w:rsidRPr="005A0D77">
        <w:rPr>
          <w:rFonts w:ascii="Times New Roman" w:hAnsi="Times New Roman" w:cs="Times New Roman"/>
          <w:b/>
          <w:bCs/>
          <w:u w:val="single"/>
        </w:rPr>
        <w:t>efgartigimoda</w:t>
      </w:r>
      <w:proofErr w:type="spellEnd"/>
      <w:r w:rsidRPr="005A0D77">
        <w:rPr>
          <w:rFonts w:ascii="Times New Roman" w:hAnsi="Times New Roman" w:cs="Times New Roman"/>
          <w:b/>
          <w:bCs/>
          <w:u w:val="single"/>
        </w:rPr>
        <w:t xml:space="preserve"> terapijas uzsākšanai</w:t>
      </w:r>
    </w:p>
    <w:p w14:paraId="287A5E0D" w14:textId="77777777" w:rsidR="00457702" w:rsidRPr="00487234" w:rsidRDefault="00AF1997">
      <w:pPr>
        <w:spacing w:after="0" w:line="276" w:lineRule="auto"/>
        <w:jc w:val="both"/>
        <w:rPr>
          <w:rFonts w:ascii="Times New Roman" w:hAnsi="Times New Roman" w:cs="Times New Roman"/>
        </w:rPr>
      </w:pPr>
      <w:r w:rsidRPr="00487234">
        <w:rPr>
          <w:rFonts w:ascii="Times New Roman" w:hAnsi="Times New Roman" w:cs="Times New Roman"/>
        </w:rPr>
        <w:t>Pacientam ir jāatbilst visiem šiem nosacījumiem:</w:t>
      </w:r>
    </w:p>
    <w:p w14:paraId="54E12715" w14:textId="77777777" w:rsidR="00457702" w:rsidRPr="00487234" w:rsidRDefault="00AF1997">
      <w:pPr>
        <w:spacing w:after="0" w:line="276" w:lineRule="auto"/>
        <w:jc w:val="both"/>
        <w:rPr>
          <w:rFonts w:ascii="Times New Roman" w:hAnsi="Times New Roman" w:cs="Times New Roman"/>
          <w:b/>
          <w:bCs/>
        </w:rPr>
      </w:pPr>
      <w:r w:rsidRPr="00487234">
        <w:rPr>
          <w:rFonts w:ascii="Times New Roman" w:hAnsi="Times New Roman" w:cs="Times New Roman"/>
          <w:b/>
          <w:bCs/>
        </w:rPr>
        <w:t>1. Apstiprināta diagnoze un atbilstošs vecums</w:t>
      </w:r>
    </w:p>
    <w:p w14:paraId="60E07069" w14:textId="77777777" w:rsidR="00457702" w:rsidRPr="00487234" w:rsidRDefault="00AF1997">
      <w:pPr>
        <w:pStyle w:val="ListParagraph"/>
        <w:numPr>
          <w:ilvl w:val="0"/>
          <w:numId w:val="1"/>
        </w:numPr>
        <w:spacing w:after="0" w:line="276" w:lineRule="auto"/>
        <w:ind w:left="0" w:firstLine="0"/>
        <w:jc w:val="both"/>
        <w:rPr>
          <w:rFonts w:ascii="Times New Roman" w:hAnsi="Times New Roman" w:cs="Times New Roman"/>
        </w:rPr>
      </w:pPr>
      <w:r w:rsidRPr="00487234">
        <w:rPr>
          <w:rFonts w:ascii="Times New Roman" w:hAnsi="Times New Roman" w:cs="Times New Roman"/>
        </w:rPr>
        <w:t>Pacienta vecums ≥18 gadi</w:t>
      </w:r>
    </w:p>
    <w:p w14:paraId="5CA543F1" w14:textId="77777777" w:rsidR="00457702" w:rsidRPr="00487234" w:rsidRDefault="00AF1997">
      <w:pPr>
        <w:numPr>
          <w:ilvl w:val="0"/>
          <w:numId w:val="2"/>
        </w:numPr>
        <w:spacing w:after="0" w:line="276" w:lineRule="auto"/>
        <w:ind w:left="0" w:firstLine="0"/>
        <w:jc w:val="both"/>
        <w:rPr>
          <w:rFonts w:ascii="Times New Roman" w:hAnsi="Times New Roman" w:cs="Times New Roman"/>
        </w:rPr>
      </w:pPr>
      <w:r w:rsidRPr="00487234">
        <w:rPr>
          <w:rFonts w:ascii="Times New Roman" w:hAnsi="Times New Roman" w:cs="Times New Roman"/>
        </w:rPr>
        <w:t>Smaga ģeneralizēta miastēnija (gMG) ar pozitīvām AChR antivielām</w:t>
      </w:r>
    </w:p>
    <w:p w14:paraId="61CED1BA" w14:textId="77777777" w:rsidR="00457702" w:rsidRPr="00487234" w:rsidRDefault="00AF1997">
      <w:pPr>
        <w:numPr>
          <w:ilvl w:val="0"/>
          <w:numId w:val="2"/>
        </w:numPr>
        <w:spacing w:after="0" w:line="276" w:lineRule="auto"/>
        <w:ind w:left="0" w:firstLine="0"/>
        <w:jc w:val="both"/>
        <w:rPr>
          <w:rFonts w:ascii="Times New Roman" w:hAnsi="Times New Roman" w:cs="Times New Roman"/>
        </w:rPr>
      </w:pPr>
      <w:r w:rsidRPr="00487234">
        <w:rPr>
          <w:rFonts w:ascii="Times New Roman" w:hAnsi="Times New Roman" w:cs="Times New Roman"/>
        </w:rPr>
        <w:t>Klīniskais stāvoklis atbilst MGFA (</w:t>
      </w:r>
      <w:r w:rsidRPr="00487234">
        <w:rPr>
          <w:rFonts w:ascii="Times New Roman" w:hAnsi="Times New Roman" w:cs="Times New Roman"/>
          <w:i/>
          <w:iCs/>
        </w:rPr>
        <w:t>Myasthenia Gravis Foundation of America classificatio</w:t>
      </w:r>
      <w:r w:rsidRPr="00487234">
        <w:rPr>
          <w:rFonts w:ascii="Times New Roman" w:hAnsi="Times New Roman" w:cs="Times New Roman"/>
        </w:rPr>
        <w:t>n) II–IV klasei </w:t>
      </w:r>
    </w:p>
    <w:p w14:paraId="00EA1FEC" w14:textId="77777777" w:rsidR="00457702" w:rsidRPr="00487234" w:rsidRDefault="00AF1997">
      <w:pPr>
        <w:spacing w:after="0" w:line="276" w:lineRule="auto"/>
        <w:jc w:val="both"/>
        <w:rPr>
          <w:rFonts w:ascii="Times New Roman" w:hAnsi="Times New Roman" w:cs="Times New Roman"/>
          <w:b/>
          <w:bCs/>
        </w:rPr>
      </w:pPr>
      <w:r w:rsidRPr="00487234">
        <w:rPr>
          <w:rFonts w:ascii="Times New Roman" w:hAnsi="Times New Roman" w:cs="Times New Roman"/>
          <w:b/>
          <w:bCs/>
        </w:rPr>
        <w:t>2. Klīniski nozīmīga slimības aktivitāte</w:t>
      </w:r>
    </w:p>
    <w:p w14:paraId="30D754E3" w14:textId="6F61FB16" w:rsidR="00457702" w:rsidRPr="00487234" w:rsidRDefault="00AF1997">
      <w:pPr>
        <w:numPr>
          <w:ilvl w:val="0"/>
          <w:numId w:val="3"/>
        </w:numPr>
        <w:spacing w:after="0" w:line="276" w:lineRule="auto"/>
        <w:ind w:left="0" w:firstLine="0"/>
        <w:rPr>
          <w:rFonts w:ascii="Times New Roman" w:hAnsi="Times New Roman" w:cs="Times New Roman"/>
        </w:rPr>
      </w:pPr>
      <w:r w:rsidRPr="00487234">
        <w:rPr>
          <w:rFonts w:ascii="Times New Roman" w:hAnsi="Times New Roman" w:cs="Times New Roman"/>
        </w:rPr>
        <w:t>MG-ADL skalas (</w:t>
      </w:r>
      <w:r w:rsidRPr="00487234">
        <w:rPr>
          <w:rFonts w:ascii="Times New Roman" w:hAnsi="Times New Roman" w:cs="Times New Roman"/>
          <w:i/>
          <w:iCs/>
        </w:rPr>
        <w:t>Myasthenia Gravis Activities of Daily Living score</w:t>
      </w:r>
      <w:r w:rsidRPr="00487234">
        <w:rPr>
          <w:rFonts w:ascii="Times New Roman" w:hAnsi="Times New Roman" w:cs="Times New Roman"/>
        </w:rPr>
        <w:t>) rādītājs ≥5, kur vismaz puse punktu saistīta ar ne-okulāriem simptomiem</w:t>
      </w:r>
      <w:r w:rsidR="00A76425" w:rsidRPr="00487234">
        <w:rPr>
          <w:rFonts w:ascii="Times New Roman" w:hAnsi="Times New Roman" w:cs="Times New Roman"/>
        </w:rPr>
        <w:t xml:space="preserve"> </w:t>
      </w:r>
      <w:r w:rsidRPr="00487234">
        <w:rPr>
          <w:rFonts w:ascii="Times New Roman" w:hAnsi="Times New Roman" w:cs="Times New Roman"/>
        </w:rPr>
        <w:t>un</w:t>
      </w:r>
    </w:p>
    <w:p w14:paraId="4FE04C20" w14:textId="77777777" w:rsidR="00457702" w:rsidRPr="00487234" w:rsidRDefault="00AF1997">
      <w:pPr>
        <w:numPr>
          <w:ilvl w:val="0"/>
          <w:numId w:val="3"/>
        </w:numPr>
        <w:spacing w:after="0" w:line="276" w:lineRule="auto"/>
        <w:ind w:left="0" w:firstLine="0"/>
        <w:jc w:val="both"/>
        <w:rPr>
          <w:rFonts w:ascii="Times New Roman" w:hAnsi="Times New Roman" w:cs="Times New Roman"/>
        </w:rPr>
      </w:pPr>
      <w:r w:rsidRPr="00487234">
        <w:rPr>
          <w:rFonts w:ascii="Times New Roman" w:hAnsi="Times New Roman" w:cs="Times New Roman"/>
        </w:rPr>
        <w:t>QMG skalas rādītājs (</w:t>
      </w:r>
      <w:r w:rsidRPr="00487234">
        <w:rPr>
          <w:rFonts w:ascii="Times New Roman" w:hAnsi="Times New Roman" w:cs="Times New Roman"/>
          <w:i/>
          <w:iCs/>
        </w:rPr>
        <w:t>Quantitative Myasthenia Gravis score</w:t>
      </w:r>
      <w:r w:rsidRPr="00487234">
        <w:rPr>
          <w:rFonts w:ascii="Times New Roman" w:hAnsi="Times New Roman" w:cs="Times New Roman"/>
        </w:rPr>
        <w:t>) &gt;10</w:t>
      </w:r>
    </w:p>
    <w:p w14:paraId="14161EAB" w14:textId="77777777" w:rsidR="00457702" w:rsidRPr="00487234" w:rsidRDefault="00AF1997">
      <w:pPr>
        <w:spacing w:after="0" w:line="276" w:lineRule="auto"/>
        <w:jc w:val="both"/>
        <w:rPr>
          <w:rFonts w:ascii="Times New Roman" w:hAnsi="Times New Roman" w:cs="Times New Roman"/>
          <w:b/>
          <w:bCs/>
        </w:rPr>
      </w:pPr>
      <w:r w:rsidRPr="00487234">
        <w:rPr>
          <w:rFonts w:ascii="Times New Roman" w:hAnsi="Times New Roman" w:cs="Times New Roman"/>
          <w:b/>
          <w:bCs/>
        </w:rPr>
        <w:t>3. Nepietiekama atbildes reakcija uz atbilstošu standarta terapiju vai ilgstoša steroīdu lietošana augstās devās</w:t>
      </w:r>
    </w:p>
    <w:p w14:paraId="2FA34955" w14:textId="77777777" w:rsidR="00457702" w:rsidRPr="00487234" w:rsidRDefault="00AF1997">
      <w:pPr>
        <w:spacing w:after="0" w:line="276" w:lineRule="auto"/>
        <w:jc w:val="both"/>
        <w:rPr>
          <w:rFonts w:ascii="Times New Roman" w:hAnsi="Times New Roman" w:cs="Times New Roman"/>
        </w:rPr>
      </w:pPr>
      <w:r w:rsidRPr="00487234">
        <w:rPr>
          <w:rFonts w:ascii="Times New Roman" w:hAnsi="Times New Roman" w:cs="Times New Roman"/>
          <w:u w:val="single"/>
        </w:rPr>
        <w:lastRenderedPageBreak/>
        <w:t>Par atbilstošu standarta terapiju</w:t>
      </w:r>
      <w:r w:rsidRPr="00487234">
        <w:rPr>
          <w:rFonts w:ascii="Times New Roman" w:hAnsi="Times New Roman" w:cs="Times New Roman"/>
        </w:rPr>
        <w:t xml:space="preserve"> uzskata:</w:t>
      </w:r>
    </w:p>
    <w:p w14:paraId="26411919" w14:textId="77777777" w:rsidR="00457702" w:rsidRPr="00487234" w:rsidRDefault="00AF1997">
      <w:pPr>
        <w:numPr>
          <w:ilvl w:val="0"/>
          <w:numId w:val="4"/>
        </w:numPr>
        <w:spacing w:after="0" w:line="240" w:lineRule="auto"/>
        <w:ind w:left="0" w:firstLine="0"/>
        <w:jc w:val="both"/>
        <w:rPr>
          <w:rFonts w:ascii="Times New Roman" w:hAnsi="Times New Roman" w:cs="Times New Roman"/>
        </w:rPr>
      </w:pPr>
      <w:r w:rsidRPr="00487234">
        <w:rPr>
          <w:rFonts w:ascii="Times New Roman" w:hAnsi="Times New Roman" w:cs="Times New Roman"/>
        </w:rPr>
        <w:t>Holinesterāzes inhibitoru (piemēram, piridostigmīna) lietošanu</w:t>
      </w:r>
    </w:p>
    <w:p w14:paraId="2A6C980B" w14:textId="77777777" w:rsidR="00457702" w:rsidRPr="00487234" w:rsidRDefault="00AF1997">
      <w:pPr>
        <w:numPr>
          <w:ilvl w:val="0"/>
          <w:numId w:val="4"/>
        </w:numPr>
        <w:spacing w:after="0" w:line="240" w:lineRule="auto"/>
        <w:ind w:left="0" w:firstLine="0"/>
        <w:jc w:val="both"/>
        <w:rPr>
          <w:rFonts w:ascii="Times New Roman" w:hAnsi="Times New Roman" w:cs="Times New Roman"/>
        </w:rPr>
      </w:pPr>
      <w:r w:rsidRPr="00487234">
        <w:rPr>
          <w:rFonts w:ascii="Times New Roman" w:hAnsi="Times New Roman" w:cs="Times New Roman"/>
        </w:rPr>
        <w:t>Kortikosteroīdus (piemēram, prednizonu ≥15 mg/dienā vismaz 3 mēnešus)</w:t>
      </w:r>
    </w:p>
    <w:p w14:paraId="3CD61776" w14:textId="77777777" w:rsidR="00457702" w:rsidRPr="00487234" w:rsidRDefault="00AF1997">
      <w:pPr>
        <w:numPr>
          <w:ilvl w:val="0"/>
          <w:numId w:val="4"/>
        </w:numPr>
        <w:spacing w:after="0" w:line="240" w:lineRule="auto"/>
        <w:ind w:left="0" w:firstLine="0"/>
        <w:jc w:val="both"/>
        <w:rPr>
          <w:rFonts w:ascii="Times New Roman" w:hAnsi="Times New Roman" w:cs="Times New Roman"/>
        </w:rPr>
      </w:pPr>
      <w:r w:rsidRPr="00487234">
        <w:rPr>
          <w:rFonts w:ascii="Times New Roman" w:hAnsi="Times New Roman" w:cs="Times New Roman"/>
        </w:rPr>
        <w:t xml:space="preserve">Nesteroīdos imūnsupresantus (piemēram, azatioprīnu, MMF) vismaz 6 </w:t>
      </w:r>
    </w:p>
    <w:p w14:paraId="4C4B04CA" w14:textId="77777777" w:rsidR="00457702" w:rsidRPr="00487234" w:rsidRDefault="00AF1997">
      <w:pPr>
        <w:spacing w:after="0" w:line="240" w:lineRule="auto"/>
        <w:jc w:val="both"/>
        <w:rPr>
          <w:rFonts w:ascii="Times New Roman" w:hAnsi="Times New Roman" w:cs="Times New Roman"/>
        </w:rPr>
      </w:pPr>
      <w:r w:rsidRPr="00487234">
        <w:rPr>
          <w:rFonts w:ascii="Times New Roman" w:hAnsi="Times New Roman" w:cs="Times New Roman"/>
        </w:rPr>
        <w:t xml:space="preserve">            mēnešus pilnā devā</w:t>
      </w:r>
    </w:p>
    <w:p w14:paraId="1E57655A" w14:textId="77777777" w:rsidR="00457702" w:rsidRPr="00487234" w:rsidRDefault="00AF1997">
      <w:pPr>
        <w:spacing w:after="0" w:line="276" w:lineRule="auto"/>
        <w:jc w:val="both"/>
        <w:rPr>
          <w:rFonts w:ascii="Times New Roman" w:hAnsi="Times New Roman" w:cs="Times New Roman"/>
        </w:rPr>
      </w:pPr>
      <w:r w:rsidRPr="00487234">
        <w:rPr>
          <w:rFonts w:ascii="Times New Roman" w:hAnsi="Times New Roman" w:cs="Times New Roman"/>
          <w:u w:val="single"/>
        </w:rPr>
        <w:t>Par ilgstošu kortikosteroīdu lietošanu augstās devās</w:t>
      </w:r>
      <w:r w:rsidRPr="00487234">
        <w:rPr>
          <w:rFonts w:ascii="Times New Roman" w:hAnsi="Times New Roman" w:cs="Times New Roman"/>
        </w:rPr>
        <w:t xml:space="preserve"> uzskata:</w:t>
      </w:r>
    </w:p>
    <w:p w14:paraId="57D9874C" w14:textId="77777777" w:rsidR="00457702" w:rsidRPr="00487234" w:rsidRDefault="00AF1997">
      <w:pPr>
        <w:spacing w:after="0" w:line="276" w:lineRule="auto"/>
        <w:jc w:val="both"/>
        <w:rPr>
          <w:rFonts w:ascii="Times New Roman" w:hAnsi="Times New Roman" w:cs="Times New Roman"/>
        </w:rPr>
      </w:pPr>
      <w:r w:rsidRPr="00487234">
        <w:rPr>
          <w:rFonts w:ascii="Times New Roman" w:hAnsi="Times New Roman" w:cs="Times New Roman"/>
        </w:rPr>
        <w:t>•          Prednizons ≥20 mg/dienā vismaz 6 mēnešus, ja devu nav iespējams samazināt slimības paasinājumu dēļ.</w:t>
      </w:r>
    </w:p>
    <w:p w14:paraId="0175F7D0" w14:textId="77777777" w:rsidR="00457702" w:rsidRPr="00487234" w:rsidRDefault="00AF1997">
      <w:pPr>
        <w:spacing w:after="0" w:line="276" w:lineRule="auto"/>
        <w:jc w:val="both"/>
        <w:rPr>
          <w:rFonts w:ascii="Times New Roman" w:hAnsi="Times New Roman" w:cs="Times New Roman"/>
          <w:b/>
          <w:bCs/>
        </w:rPr>
      </w:pPr>
      <w:r w:rsidRPr="00487234">
        <w:rPr>
          <w:rFonts w:ascii="Times New Roman" w:hAnsi="Times New Roman" w:cs="Times New Roman"/>
          <w:b/>
          <w:bCs/>
        </w:rPr>
        <w:t xml:space="preserve">4. Atbilstība "refraktāras gMG" definīcijai </w:t>
      </w:r>
    </w:p>
    <w:p w14:paraId="25B09731" w14:textId="77777777" w:rsidR="00457702" w:rsidRPr="00487234" w:rsidRDefault="00AF1997">
      <w:pPr>
        <w:spacing w:after="0" w:line="276" w:lineRule="auto"/>
        <w:jc w:val="both"/>
        <w:rPr>
          <w:rFonts w:ascii="Times New Roman" w:hAnsi="Times New Roman" w:cs="Times New Roman"/>
        </w:rPr>
      </w:pPr>
      <w:r w:rsidRPr="00487234">
        <w:rPr>
          <w:rFonts w:ascii="Times New Roman" w:hAnsi="Times New Roman" w:cs="Times New Roman"/>
        </w:rPr>
        <w:t>Pacientam jāatbilst vienam no šiem nosacījumiem:</w:t>
      </w:r>
    </w:p>
    <w:p w14:paraId="5547CA92" w14:textId="77777777" w:rsidR="00457702" w:rsidRPr="00487234" w:rsidRDefault="00AF1997">
      <w:pPr>
        <w:numPr>
          <w:ilvl w:val="0"/>
          <w:numId w:val="5"/>
        </w:numPr>
        <w:spacing w:after="0" w:line="276" w:lineRule="auto"/>
        <w:ind w:left="0" w:firstLine="0"/>
        <w:jc w:val="both"/>
        <w:rPr>
          <w:rFonts w:ascii="Times New Roman" w:hAnsi="Times New Roman" w:cs="Times New Roman"/>
        </w:rPr>
      </w:pPr>
      <w:r w:rsidRPr="00487234">
        <w:rPr>
          <w:rFonts w:ascii="Times New Roman" w:hAnsi="Times New Roman" w:cs="Times New Roman"/>
        </w:rPr>
        <w:t>MGFA klase ≥IIb </w:t>
      </w:r>
      <w:r w:rsidRPr="00487234">
        <w:rPr>
          <w:rFonts w:ascii="Times New Roman" w:hAnsi="Times New Roman" w:cs="Times New Roman"/>
          <w:i/>
          <w:iCs/>
        </w:rPr>
        <w:t>un</w:t>
      </w:r>
      <w:r w:rsidRPr="00487234">
        <w:rPr>
          <w:rFonts w:ascii="Times New Roman" w:hAnsi="Times New Roman" w:cs="Times New Roman"/>
        </w:rPr>
        <w:t xml:space="preserve"> vismaz 2 smagi paasinājumi/miastēniskas krīzes pēdējā </w:t>
      </w:r>
    </w:p>
    <w:p w14:paraId="38E98643" w14:textId="77777777" w:rsidR="00457702" w:rsidRPr="00487234" w:rsidRDefault="00AF1997">
      <w:pPr>
        <w:spacing w:after="0" w:line="276" w:lineRule="auto"/>
        <w:jc w:val="both"/>
        <w:rPr>
          <w:rFonts w:ascii="Times New Roman" w:hAnsi="Times New Roman" w:cs="Times New Roman"/>
        </w:rPr>
      </w:pPr>
      <w:r w:rsidRPr="00487234">
        <w:rPr>
          <w:rFonts w:ascii="Times New Roman" w:hAnsi="Times New Roman" w:cs="Times New Roman"/>
        </w:rPr>
        <w:t xml:space="preserve">            gada laikā, kuru ārstēšanai pielietoja intravenozus imūnoglobulīnus vai plazmas </w:t>
      </w:r>
    </w:p>
    <w:p w14:paraId="02A50839" w14:textId="77777777" w:rsidR="00457702" w:rsidRPr="00487234" w:rsidRDefault="00AF1997">
      <w:pPr>
        <w:spacing w:after="0" w:line="276" w:lineRule="auto"/>
        <w:jc w:val="both"/>
        <w:rPr>
          <w:rFonts w:ascii="Times New Roman" w:hAnsi="Times New Roman" w:cs="Times New Roman"/>
        </w:rPr>
      </w:pPr>
      <w:r w:rsidRPr="00487234">
        <w:rPr>
          <w:rFonts w:ascii="Times New Roman" w:hAnsi="Times New Roman" w:cs="Times New Roman"/>
        </w:rPr>
        <w:t xml:space="preserve">            apmaiņas procedūru</w:t>
      </w:r>
    </w:p>
    <w:p w14:paraId="3353D09F" w14:textId="77777777" w:rsidR="00457702" w:rsidRPr="00487234" w:rsidRDefault="00AF1997">
      <w:pPr>
        <w:numPr>
          <w:ilvl w:val="0"/>
          <w:numId w:val="5"/>
        </w:numPr>
        <w:spacing w:after="0" w:line="276" w:lineRule="auto"/>
        <w:ind w:left="0" w:firstLine="0"/>
        <w:jc w:val="both"/>
        <w:rPr>
          <w:rFonts w:ascii="Times New Roman" w:hAnsi="Times New Roman" w:cs="Times New Roman"/>
        </w:rPr>
      </w:pPr>
      <w:r w:rsidRPr="00487234">
        <w:rPr>
          <w:rFonts w:ascii="Times New Roman" w:hAnsi="Times New Roman" w:cs="Times New Roman"/>
        </w:rPr>
        <w:t>Ilgstoši simptomi (MGFA ≥IIa) </w:t>
      </w:r>
      <w:r w:rsidRPr="00487234">
        <w:rPr>
          <w:rFonts w:ascii="Times New Roman" w:hAnsi="Times New Roman" w:cs="Times New Roman"/>
          <w:i/>
          <w:iCs/>
        </w:rPr>
        <w:t>un</w:t>
      </w:r>
      <w:r w:rsidRPr="00487234">
        <w:rPr>
          <w:rFonts w:ascii="Times New Roman" w:hAnsi="Times New Roman" w:cs="Times New Roman"/>
        </w:rPr>
        <w:t> vismaz 1 smags paasinājums pēdējā gada l</w:t>
      </w:r>
    </w:p>
    <w:p w14:paraId="3F20DA78" w14:textId="77777777" w:rsidR="00457702" w:rsidRPr="00487234" w:rsidRDefault="00AF1997">
      <w:pPr>
        <w:spacing w:after="0" w:line="276" w:lineRule="auto"/>
        <w:jc w:val="both"/>
        <w:rPr>
          <w:rFonts w:ascii="Times New Roman" w:hAnsi="Times New Roman" w:cs="Times New Roman"/>
        </w:rPr>
      </w:pPr>
      <w:r w:rsidRPr="00487234">
        <w:rPr>
          <w:rFonts w:ascii="Times New Roman" w:hAnsi="Times New Roman" w:cs="Times New Roman"/>
        </w:rPr>
        <w:t xml:space="preserve">            laikā, kuru ārstēšanai pielietoja intravenozus imūnoglobulīnus vai plazmas </w:t>
      </w:r>
    </w:p>
    <w:p w14:paraId="10393463" w14:textId="77777777" w:rsidR="00457702" w:rsidRPr="00487234" w:rsidRDefault="00AF1997">
      <w:pPr>
        <w:spacing w:after="0" w:line="276" w:lineRule="auto"/>
        <w:jc w:val="both"/>
        <w:rPr>
          <w:rFonts w:ascii="Times New Roman" w:hAnsi="Times New Roman" w:cs="Times New Roman"/>
        </w:rPr>
      </w:pPr>
      <w:r w:rsidRPr="00487234">
        <w:rPr>
          <w:rFonts w:ascii="Times New Roman" w:hAnsi="Times New Roman" w:cs="Times New Roman"/>
        </w:rPr>
        <w:t xml:space="preserve">            apmaiņas procedūru</w:t>
      </w:r>
    </w:p>
    <w:p w14:paraId="203D65D8" w14:textId="77777777" w:rsidR="00457702" w:rsidRPr="00487234" w:rsidRDefault="00AF1997">
      <w:pPr>
        <w:numPr>
          <w:ilvl w:val="0"/>
          <w:numId w:val="5"/>
        </w:numPr>
        <w:spacing w:after="0" w:line="276" w:lineRule="auto"/>
        <w:ind w:left="0" w:firstLine="0"/>
        <w:jc w:val="both"/>
        <w:rPr>
          <w:rFonts w:ascii="Times New Roman" w:hAnsi="Times New Roman" w:cs="Times New Roman"/>
        </w:rPr>
      </w:pPr>
      <w:r w:rsidRPr="00487234">
        <w:rPr>
          <w:rFonts w:ascii="Times New Roman" w:hAnsi="Times New Roman" w:cs="Times New Roman"/>
        </w:rPr>
        <w:t xml:space="preserve">Simptomi ilgāk par 2 gadiem, kas ietekmē ikdienas dzīvi, neskatoties uz </w:t>
      </w:r>
    </w:p>
    <w:p w14:paraId="7D9B623D" w14:textId="77777777" w:rsidR="00457702" w:rsidRPr="00487234" w:rsidRDefault="00AF1997">
      <w:pPr>
        <w:spacing w:after="0" w:line="276" w:lineRule="auto"/>
        <w:jc w:val="both"/>
        <w:rPr>
          <w:rFonts w:ascii="Times New Roman" w:hAnsi="Times New Roman" w:cs="Times New Roman"/>
        </w:rPr>
      </w:pPr>
      <w:r w:rsidRPr="00487234">
        <w:rPr>
          <w:rFonts w:ascii="Times New Roman" w:hAnsi="Times New Roman" w:cs="Times New Roman"/>
        </w:rPr>
        <w:t xml:space="preserve">            atbilstošu terapiju</w:t>
      </w:r>
    </w:p>
    <w:p w14:paraId="3EA44C26" w14:textId="77777777" w:rsidR="00457702" w:rsidRPr="00487234" w:rsidRDefault="00AF1997">
      <w:pPr>
        <w:numPr>
          <w:ilvl w:val="0"/>
          <w:numId w:val="7"/>
        </w:numPr>
        <w:spacing w:after="0" w:line="276" w:lineRule="auto"/>
        <w:jc w:val="both"/>
        <w:rPr>
          <w:rFonts w:ascii="Times New Roman" w:hAnsi="Times New Roman" w:cs="Times New Roman"/>
          <w:b/>
          <w:bCs/>
        </w:rPr>
      </w:pPr>
      <w:r w:rsidRPr="00487234">
        <w:rPr>
          <w:rFonts w:ascii="Times New Roman" w:hAnsi="Times New Roman" w:cs="Times New Roman"/>
          <w:b/>
          <w:bCs/>
        </w:rPr>
        <w:t>Pacienta vēlme nav kritērijs terapijas uzsākšanai.</w:t>
      </w:r>
    </w:p>
    <w:p w14:paraId="660B725B" w14:textId="4EDC821D" w:rsidR="00457702" w:rsidRPr="001E5354" w:rsidRDefault="00AF1997" w:rsidP="001E5354">
      <w:pPr>
        <w:numPr>
          <w:ilvl w:val="0"/>
          <w:numId w:val="7"/>
        </w:numPr>
        <w:spacing w:after="0" w:line="276" w:lineRule="auto"/>
        <w:jc w:val="both"/>
        <w:rPr>
          <w:rFonts w:ascii="Times New Roman" w:hAnsi="Times New Roman" w:cs="Times New Roman"/>
          <w:b/>
          <w:bCs/>
        </w:rPr>
      </w:pPr>
      <w:r w:rsidRPr="00487234">
        <w:rPr>
          <w:rFonts w:ascii="Times New Roman" w:eastAsia="SimSun" w:hAnsi="Times New Roman" w:cs="Times New Roman"/>
          <w:b/>
          <w:bCs/>
        </w:rPr>
        <w:t xml:space="preserve">Terapiju </w:t>
      </w:r>
      <w:r w:rsidRPr="00487234">
        <w:rPr>
          <w:rStyle w:val="Strong"/>
          <w:rFonts w:ascii="Times New Roman" w:eastAsia="SimSun" w:hAnsi="Times New Roman" w:cs="Times New Roman"/>
        </w:rPr>
        <w:t>atkārto pēc klīniskās nepieciešamības</w:t>
      </w:r>
      <w:r w:rsidRPr="00487234">
        <w:rPr>
          <w:rFonts w:ascii="Times New Roman" w:eastAsia="SimSun" w:hAnsi="Times New Roman" w:cs="Times New Roman"/>
        </w:rPr>
        <w:t>,</w:t>
      </w:r>
      <w:r w:rsidRPr="00487234">
        <w:rPr>
          <w:rFonts w:ascii="Times New Roman" w:eastAsia="SimSun" w:hAnsi="Times New Roman" w:cs="Times New Roman"/>
          <w:b/>
          <w:bCs/>
        </w:rPr>
        <w:t xml:space="preserve"> bet ne ātrāk kā 7- 8 nedēļas no iepriekšējā cikla sākuma</w:t>
      </w:r>
    </w:p>
    <w:p w14:paraId="524E023C" w14:textId="77777777" w:rsidR="00457702" w:rsidRPr="005A0D77" w:rsidRDefault="00457702">
      <w:pPr>
        <w:spacing w:after="0" w:line="276" w:lineRule="auto"/>
        <w:jc w:val="both"/>
        <w:rPr>
          <w:rFonts w:ascii="Times New Roman" w:hAnsi="Times New Roman" w:cs="Times New Roman"/>
        </w:rPr>
      </w:pPr>
    </w:p>
    <w:p w14:paraId="67EB5781" w14:textId="77777777" w:rsidR="00457702" w:rsidRPr="005A0D77" w:rsidRDefault="00AF1997">
      <w:pPr>
        <w:spacing w:after="0" w:line="276" w:lineRule="auto"/>
        <w:jc w:val="both"/>
        <w:rPr>
          <w:rFonts w:ascii="Times New Roman" w:hAnsi="Times New Roman" w:cs="Times New Roman"/>
          <w:b/>
          <w:bCs/>
          <w:u w:val="single"/>
        </w:rPr>
      </w:pPr>
      <w:r w:rsidRPr="005A0D77">
        <w:rPr>
          <w:rFonts w:ascii="Times New Roman" w:hAnsi="Times New Roman" w:cs="Times New Roman"/>
          <w:b/>
          <w:bCs/>
          <w:u w:val="single"/>
        </w:rPr>
        <w:t xml:space="preserve">Kritēriji terapijas pārtraukšanai </w:t>
      </w:r>
    </w:p>
    <w:p w14:paraId="4A88E700" w14:textId="51F8DF64" w:rsidR="00457702" w:rsidRPr="00487234" w:rsidRDefault="00AF1997">
      <w:pPr>
        <w:spacing w:after="0" w:line="276" w:lineRule="auto"/>
        <w:jc w:val="both"/>
        <w:rPr>
          <w:rFonts w:ascii="Times New Roman" w:hAnsi="Times New Roman" w:cs="Times New Roman"/>
        </w:rPr>
      </w:pPr>
      <w:r w:rsidRPr="00487234">
        <w:rPr>
          <w:rFonts w:ascii="Times New Roman" w:hAnsi="Times New Roman" w:cs="Times New Roman"/>
        </w:rPr>
        <w:t>Efgartigimoda terapija</w:t>
      </w:r>
      <w:r w:rsidR="00A76425" w:rsidRPr="00487234">
        <w:rPr>
          <w:rFonts w:ascii="Times New Roman" w:hAnsi="Times New Roman" w:cs="Times New Roman"/>
        </w:rPr>
        <w:t xml:space="preserve"> </w:t>
      </w:r>
      <w:r w:rsidRPr="00487234">
        <w:rPr>
          <w:rFonts w:ascii="Times New Roman" w:hAnsi="Times New Roman" w:cs="Times New Roman"/>
        </w:rPr>
        <w:t>jāpārtrauc šādos gadījumos:</w:t>
      </w:r>
    </w:p>
    <w:p w14:paraId="0112BD80" w14:textId="77777777" w:rsidR="00457702" w:rsidRPr="00487234" w:rsidRDefault="00AF1997">
      <w:pPr>
        <w:spacing w:after="0" w:line="276" w:lineRule="auto"/>
        <w:jc w:val="both"/>
        <w:rPr>
          <w:rFonts w:ascii="Times New Roman" w:hAnsi="Times New Roman" w:cs="Times New Roman"/>
          <w:b/>
          <w:bCs/>
        </w:rPr>
      </w:pPr>
      <w:r w:rsidRPr="00487234">
        <w:rPr>
          <w:rFonts w:ascii="Times New Roman" w:hAnsi="Times New Roman" w:cs="Times New Roman"/>
          <w:b/>
          <w:bCs/>
        </w:rPr>
        <w:t>1. Minimāla simptomu izpausme (MSE)</w:t>
      </w:r>
    </w:p>
    <w:p w14:paraId="033EB8BE" w14:textId="77777777" w:rsidR="00457702" w:rsidRPr="00487234" w:rsidRDefault="00AF1997">
      <w:pPr>
        <w:pStyle w:val="ListParagraph"/>
        <w:numPr>
          <w:ilvl w:val="0"/>
          <w:numId w:val="8"/>
        </w:numPr>
        <w:spacing w:after="0" w:line="276" w:lineRule="auto"/>
        <w:ind w:left="0" w:firstLine="0"/>
        <w:jc w:val="both"/>
        <w:rPr>
          <w:rFonts w:ascii="Times New Roman" w:hAnsi="Times New Roman" w:cs="Times New Roman"/>
        </w:rPr>
      </w:pPr>
      <w:r w:rsidRPr="00487234">
        <w:rPr>
          <w:rFonts w:ascii="Times New Roman" w:hAnsi="Times New Roman" w:cs="Times New Roman"/>
        </w:rPr>
        <w:t>MG-ADL rādītājs ≤1, kas saglabājas vismaz vairākas (2-4) nedēļas pēc pēdējās infūzijas</w:t>
      </w:r>
    </w:p>
    <w:p w14:paraId="61584B66" w14:textId="77777777" w:rsidR="00457702" w:rsidRPr="00487234" w:rsidRDefault="00AF1997">
      <w:pPr>
        <w:numPr>
          <w:ilvl w:val="0"/>
          <w:numId w:val="9"/>
        </w:numPr>
        <w:spacing w:after="0" w:line="276" w:lineRule="auto"/>
        <w:jc w:val="both"/>
        <w:rPr>
          <w:rFonts w:ascii="Times New Roman" w:hAnsi="Times New Roman" w:cs="Times New Roman"/>
          <w:b/>
          <w:bCs/>
        </w:rPr>
      </w:pPr>
      <w:r w:rsidRPr="00487234">
        <w:rPr>
          <w:rFonts w:ascii="Times New Roman" w:hAnsi="Times New Roman" w:cs="Times New Roman"/>
          <w:b/>
          <w:bCs/>
        </w:rPr>
        <w:t> Nav terapijas efektivitātes pēc 2 cikliem</w:t>
      </w:r>
    </w:p>
    <w:p w14:paraId="7741BA06" w14:textId="77777777" w:rsidR="00487234" w:rsidRPr="00487234" w:rsidRDefault="00AF1997" w:rsidP="00487234">
      <w:pPr>
        <w:pStyle w:val="ListParagraph"/>
        <w:numPr>
          <w:ilvl w:val="0"/>
          <w:numId w:val="12"/>
        </w:numPr>
        <w:spacing w:after="0" w:line="276" w:lineRule="auto"/>
        <w:jc w:val="both"/>
        <w:rPr>
          <w:rFonts w:ascii="Times New Roman" w:hAnsi="Times New Roman" w:cs="Times New Roman"/>
          <w:b/>
          <w:bCs/>
        </w:rPr>
      </w:pPr>
      <w:r w:rsidRPr="00487234">
        <w:rPr>
          <w:rFonts w:ascii="Times New Roman" w:hAnsi="Times New Roman" w:cs="Times New Roman"/>
        </w:rPr>
        <w:t>Terapijas efektivitāte tiek vērtēta pēc 1. un 2.cikla. Ja pēc 1.cikla MG-ADL nesamazinās vismaz par 2 punktiem un QMG par 3 punktiem, izvērtējot pacienta stāvokli, tiek pieļauta terapijas 2.cikla ievade.</w:t>
      </w:r>
      <w:r w:rsidR="00487234" w:rsidRPr="00487234">
        <w:rPr>
          <w:rFonts w:ascii="Times New Roman" w:hAnsi="Times New Roman" w:cs="Times New Roman"/>
        </w:rPr>
        <w:t xml:space="preserve"> </w:t>
      </w:r>
    </w:p>
    <w:p w14:paraId="6523760E" w14:textId="77777777" w:rsidR="00457702" w:rsidRPr="00487234" w:rsidRDefault="00AF1997">
      <w:pPr>
        <w:pStyle w:val="ListParagraph"/>
        <w:numPr>
          <w:ilvl w:val="0"/>
          <w:numId w:val="8"/>
        </w:numPr>
        <w:spacing w:after="0" w:line="276" w:lineRule="auto"/>
        <w:ind w:left="0" w:firstLine="0"/>
        <w:jc w:val="both"/>
        <w:rPr>
          <w:rFonts w:ascii="Times New Roman" w:hAnsi="Times New Roman" w:cs="Times New Roman"/>
        </w:rPr>
      </w:pPr>
      <w:r w:rsidRPr="00487234">
        <w:rPr>
          <w:rFonts w:ascii="Times New Roman" w:hAnsi="Times New Roman" w:cs="Times New Roman"/>
        </w:rPr>
        <w:t>Ja arī pēc 2.cikla MG-ADL nesamazinās vismaz par 2 punktiem vai QMG par 3 punktiem, tad terapija tiek pārtraukta.</w:t>
      </w:r>
    </w:p>
    <w:p w14:paraId="4DF71BC4" w14:textId="77777777" w:rsidR="00457702" w:rsidRPr="00487234" w:rsidRDefault="00AF1997">
      <w:pPr>
        <w:pStyle w:val="ListParagraph"/>
        <w:numPr>
          <w:ilvl w:val="0"/>
          <w:numId w:val="8"/>
        </w:numPr>
        <w:spacing w:after="0" w:line="276" w:lineRule="auto"/>
        <w:ind w:left="0" w:firstLine="0"/>
        <w:jc w:val="both"/>
        <w:rPr>
          <w:rFonts w:ascii="Times New Roman" w:hAnsi="Times New Roman" w:cs="Times New Roman"/>
        </w:rPr>
      </w:pPr>
      <w:r w:rsidRPr="00487234">
        <w:rPr>
          <w:rFonts w:ascii="Times New Roman" w:hAnsi="Times New Roman" w:cs="Times New Roman"/>
        </w:rPr>
        <w:t>Nav sasniegta klīniski nozīmīga tendence uz perorālo kortikosteroīdu devas samazināšanu (t.i., devas samazinājums par 20% no sākotnējās devas divu ārstēšanas ciklu laikā), izņemot gadījumus, kad tiek panākta cita veida terapijas efektivitāte (MG-ADL samazinās vismaz par 2 punktiem un  QMG par 3 punktiem).</w:t>
      </w:r>
      <w:r w:rsidRPr="00487234">
        <w:rPr>
          <w:rFonts w:ascii="Times New Roman" w:hAnsi="Times New Roman" w:cs="Times New Roman"/>
          <w:color w:val="000000"/>
        </w:rPr>
        <w:t xml:space="preserve"> </w:t>
      </w:r>
    </w:p>
    <w:p w14:paraId="53A08B15" w14:textId="77777777" w:rsidR="00457702" w:rsidRPr="00487234" w:rsidRDefault="00AF1997">
      <w:pPr>
        <w:spacing w:after="0" w:line="276" w:lineRule="auto"/>
        <w:jc w:val="both"/>
        <w:rPr>
          <w:rFonts w:ascii="Times New Roman" w:hAnsi="Times New Roman" w:cs="Times New Roman"/>
          <w:b/>
          <w:bCs/>
        </w:rPr>
      </w:pPr>
      <w:r w:rsidRPr="00487234">
        <w:rPr>
          <w:rFonts w:ascii="Times New Roman" w:hAnsi="Times New Roman" w:cs="Times New Roman"/>
        </w:rPr>
        <w:t>3. </w:t>
      </w:r>
      <w:r w:rsidRPr="00487234">
        <w:rPr>
          <w:rFonts w:ascii="Times New Roman" w:hAnsi="Times New Roman" w:cs="Times New Roman"/>
          <w:b/>
          <w:bCs/>
        </w:rPr>
        <w:t>Smagas blakusparādības vai medikamenta nepanesamība</w:t>
      </w:r>
    </w:p>
    <w:p w14:paraId="78F45120" w14:textId="77777777" w:rsidR="00457702" w:rsidRPr="00487234" w:rsidRDefault="00AF1997">
      <w:pPr>
        <w:spacing w:after="0" w:line="276" w:lineRule="auto"/>
        <w:jc w:val="both"/>
        <w:rPr>
          <w:rFonts w:ascii="Times New Roman" w:hAnsi="Times New Roman" w:cs="Times New Roman"/>
          <w:b/>
          <w:bCs/>
        </w:rPr>
      </w:pPr>
      <w:r w:rsidRPr="00487234">
        <w:rPr>
          <w:rFonts w:ascii="Times New Roman" w:hAnsi="Times New Roman" w:cs="Times New Roman"/>
        </w:rPr>
        <w:t>4. </w:t>
      </w:r>
      <w:r w:rsidRPr="00487234">
        <w:rPr>
          <w:rFonts w:ascii="Times New Roman" w:hAnsi="Times New Roman" w:cs="Times New Roman"/>
          <w:b/>
          <w:bCs/>
        </w:rPr>
        <w:t>Pacienta vēlme pārtraukt terapiju vai terapijas stratēģijas maiņa</w:t>
      </w:r>
    </w:p>
    <w:p w14:paraId="660A28A1" w14:textId="77777777" w:rsidR="00457702" w:rsidRDefault="00AF1997">
      <w:pPr>
        <w:spacing w:after="0" w:line="276" w:lineRule="auto"/>
        <w:jc w:val="both"/>
        <w:rPr>
          <w:rFonts w:ascii="Times New Roman" w:hAnsi="Times New Roman" w:cs="Times New Roman"/>
          <w:b/>
          <w:bCs/>
        </w:rPr>
      </w:pPr>
      <w:r w:rsidRPr="00487234">
        <w:rPr>
          <w:rFonts w:ascii="Times New Roman" w:hAnsi="Times New Roman" w:cs="Times New Roman"/>
          <w:b/>
          <w:bCs/>
        </w:rPr>
        <w:t>5. Medikaments nav pielietojams slimības paasinājuma/ krīzes laikā.</w:t>
      </w:r>
    </w:p>
    <w:p w14:paraId="329D73A7" w14:textId="77777777" w:rsidR="001E5354" w:rsidRDefault="001E5354">
      <w:pPr>
        <w:spacing w:after="0" w:line="276" w:lineRule="auto"/>
        <w:jc w:val="both"/>
        <w:rPr>
          <w:rFonts w:ascii="Times New Roman" w:hAnsi="Times New Roman" w:cs="Times New Roman"/>
          <w:b/>
          <w:bCs/>
        </w:rPr>
      </w:pPr>
    </w:p>
    <w:p w14:paraId="25958837" w14:textId="77777777" w:rsidR="00710225" w:rsidRDefault="00710225">
      <w:pPr>
        <w:spacing w:after="0" w:line="276" w:lineRule="auto"/>
        <w:jc w:val="both"/>
        <w:rPr>
          <w:rFonts w:ascii="Times New Roman" w:hAnsi="Times New Roman" w:cs="Times New Roman"/>
          <w:b/>
          <w:bCs/>
        </w:rPr>
      </w:pPr>
    </w:p>
    <w:p w14:paraId="6DD9A8F7" w14:textId="77777777" w:rsidR="00710225" w:rsidRDefault="00710225">
      <w:pPr>
        <w:spacing w:after="0" w:line="276" w:lineRule="auto"/>
        <w:jc w:val="both"/>
        <w:rPr>
          <w:rFonts w:ascii="Times New Roman" w:hAnsi="Times New Roman" w:cs="Times New Roman"/>
          <w:b/>
          <w:bCs/>
        </w:rPr>
      </w:pPr>
    </w:p>
    <w:p w14:paraId="30C92C70" w14:textId="77777777" w:rsidR="00710225" w:rsidRPr="00487234" w:rsidRDefault="00710225">
      <w:pPr>
        <w:spacing w:after="0" w:line="276" w:lineRule="auto"/>
        <w:jc w:val="both"/>
        <w:rPr>
          <w:rFonts w:ascii="Times New Roman" w:hAnsi="Times New Roman" w:cs="Times New Roman"/>
          <w:b/>
          <w:bCs/>
        </w:rPr>
      </w:pPr>
    </w:p>
    <w:p w14:paraId="7424A45D" w14:textId="6BE716E3" w:rsidR="00457702" w:rsidRDefault="005A0D77">
      <w:pPr>
        <w:spacing w:after="0" w:line="276" w:lineRule="auto"/>
        <w:jc w:val="both"/>
        <w:rPr>
          <w:rFonts w:ascii="Times New Roman" w:hAnsi="Times New Roman" w:cs="Times New Roman"/>
          <w:b/>
          <w:bCs/>
        </w:rPr>
      </w:pPr>
      <w:r>
        <w:rPr>
          <w:rFonts w:ascii="Times New Roman" w:hAnsi="Times New Roman" w:cs="Times New Roman"/>
          <w:b/>
          <w:bCs/>
        </w:rPr>
        <w:lastRenderedPageBreak/>
        <w:t>Atsauces:</w:t>
      </w:r>
    </w:p>
    <w:p w14:paraId="192FB529" w14:textId="41F97B3A" w:rsidR="005A0D77" w:rsidRDefault="005A0D77" w:rsidP="005A0D77">
      <w:pPr>
        <w:pStyle w:val="ListParagraph"/>
        <w:numPr>
          <w:ilvl w:val="0"/>
          <w:numId w:val="15"/>
        </w:numPr>
        <w:spacing w:after="0" w:line="276" w:lineRule="auto"/>
        <w:jc w:val="both"/>
        <w:rPr>
          <w:rFonts w:ascii="Times New Roman" w:hAnsi="Times New Roman" w:cs="Times New Roman"/>
        </w:rPr>
      </w:pPr>
      <w:proofErr w:type="spellStart"/>
      <w:r w:rsidRPr="005A0D77">
        <w:rPr>
          <w:rFonts w:ascii="Times New Roman" w:hAnsi="Times New Roman" w:cs="Times New Roman"/>
        </w:rPr>
        <w:t>Howard</w:t>
      </w:r>
      <w:proofErr w:type="spellEnd"/>
      <w:r w:rsidRPr="005A0D77">
        <w:rPr>
          <w:rFonts w:ascii="Times New Roman" w:hAnsi="Times New Roman" w:cs="Times New Roman"/>
        </w:rPr>
        <w:t xml:space="preserve">, J. F., </w:t>
      </w:r>
      <w:proofErr w:type="spellStart"/>
      <w:r w:rsidRPr="005A0D77">
        <w:rPr>
          <w:rFonts w:ascii="Times New Roman" w:hAnsi="Times New Roman" w:cs="Times New Roman"/>
        </w:rPr>
        <w:t>Jr</w:t>
      </w:r>
      <w:proofErr w:type="spellEnd"/>
      <w:r w:rsidRPr="005A0D77">
        <w:rPr>
          <w:rFonts w:ascii="Times New Roman" w:hAnsi="Times New Roman" w:cs="Times New Roman"/>
        </w:rPr>
        <w:t xml:space="preserve">., </w:t>
      </w:r>
      <w:proofErr w:type="spellStart"/>
      <w:r w:rsidRPr="005A0D77">
        <w:rPr>
          <w:rFonts w:ascii="Times New Roman" w:hAnsi="Times New Roman" w:cs="Times New Roman"/>
        </w:rPr>
        <w:t>et</w:t>
      </w:r>
      <w:proofErr w:type="spellEnd"/>
      <w:r w:rsidRPr="005A0D77">
        <w:rPr>
          <w:rFonts w:ascii="Times New Roman" w:hAnsi="Times New Roman" w:cs="Times New Roman"/>
        </w:rPr>
        <w:t xml:space="preserve"> </w:t>
      </w:r>
      <w:proofErr w:type="spellStart"/>
      <w:r w:rsidRPr="005A0D77">
        <w:rPr>
          <w:rFonts w:ascii="Times New Roman" w:hAnsi="Times New Roman" w:cs="Times New Roman"/>
        </w:rPr>
        <w:t>al</w:t>
      </w:r>
      <w:proofErr w:type="spellEnd"/>
      <w:r w:rsidRPr="005A0D77">
        <w:rPr>
          <w:rFonts w:ascii="Times New Roman" w:hAnsi="Times New Roman" w:cs="Times New Roman"/>
        </w:rPr>
        <w:t>. "</w:t>
      </w:r>
      <w:proofErr w:type="spellStart"/>
      <w:r w:rsidRPr="005A0D77">
        <w:rPr>
          <w:rFonts w:ascii="Times New Roman" w:hAnsi="Times New Roman" w:cs="Times New Roman"/>
        </w:rPr>
        <w:t>Safety</w:t>
      </w:r>
      <w:proofErr w:type="spellEnd"/>
      <w:r w:rsidRPr="005A0D77">
        <w:rPr>
          <w:rFonts w:ascii="Times New Roman" w:hAnsi="Times New Roman" w:cs="Times New Roman"/>
        </w:rPr>
        <w:t xml:space="preserve">, </w:t>
      </w:r>
      <w:proofErr w:type="spellStart"/>
      <w:r w:rsidRPr="005A0D77">
        <w:rPr>
          <w:rFonts w:ascii="Times New Roman" w:hAnsi="Times New Roman" w:cs="Times New Roman"/>
        </w:rPr>
        <w:t>tolerability</w:t>
      </w:r>
      <w:proofErr w:type="spellEnd"/>
      <w:r w:rsidRPr="005A0D77">
        <w:rPr>
          <w:rFonts w:ascii="Times New Roman" w:hAnsi="Times New Roman" w:cs="Times New Roman"/>
        </w:rPr>
        <w:t xml:space="preserve">, </w:t>
      </w:r>
      <w:proofErr w:type="spellStart"/>
      <w:r w:rsidRPr="005A0D77">
        <w:rPr>
          <w:rFonts w:ascii="Times New Roman" w:hAnsi="Times New Roman" w:cs="Times New Roman"/>
        </w:rPr>
        <w:t>and</w:t>
      </w:r>
      <w:proofErr w:type="spellEnd"/>
      <w:r w:rsidRPr="005A0D77">
        <w:rPr>
          <w:rFonts w:ascii="Times New Roman" w:hAnsi="Times New Roman" w:cs="Times New Roman"/>
        </w:rPr>
        <w:t xml:space="preserve"> </w:t>
      </w:r>
      <w:proofErr w:type="spellStart"/>
      <w:r w:rsidRPr="005A0D77">
        <w:rPr>
          <w:rFonts w:ascii="Times New Roman" w:hAnsi="Times New Roman" w:cs="Times New Roman"/>
        </w:rPr>
        <w:t>efficacy</w:t>
      </w:r>
      <w:proofErr w:type="spellEnd"/>
      <w:r w:rsidRPr="005A0D77">
        <w:rPr>
          <w:rFonts w:ascii="Times New Roman" w:hAnsi="Times New Roman" w:cs="Times New Roman"/>
        </w:rPr>
        <w:t xml:space="preserve"> </w:t>
      </w:r>
      <w:proofErr w:type="spellStart"/>
      <w:r w:rsidRPr="005A0D77">
        <w:rPr>
          <w:rFonts w:ascii="Times New Roman" w:hAnsi="Times New Roman" w:cs="Times New Roman"/>
        </w:rPr>
        <w:t>of</w:t>
      </w:r>
      <w:proofErr w:type="spellEnd"/>
      <w:r w:rsidRPr="005A0D77">
        <w:rPr>
          <w:rFonts w:ascii="Times New Roman" w:hAnsi="Times New Roman" w:cs="Times New Roman"/>
        </w:rPr>
        <w:t xml:space="preserve"> </w:t>
      </w:r>
      <w:proofErr w:type="spellStart"/>
      <w:r w:rsidRPr="005A0D77">
        <w:rPr>
          <w:rFonts w:ascii="Times New Roman" w:hAnsi="Times New Roman" w:cs="Times New Roman"/>
        </w:rPr>
        <w:t>efgartigimod</w:t>
      </w:r>
      <w:proofErr w:type="spellEnd"/>
      <w:r w:rsidRPr="005A0D77">
        <w:rPr>
          <w:rFonts w:ascii="Times New Roman" w:hAnsi="Times New Roman" w:cs="Times New Roman"/>
        </w:rPr>
        <w:t xml:space="preserve"> </w:t>
      </w:r>
      <w:proofErr w:type="spellStart"/>
      <w:r w:rsidRPr="005A0D77">
        <w:rPr>
          <w:rFonts w:ascii="Times New Roman" w:hAnsi="Times New Roman" w:cs="Times New Roman"/>
        </w:rPr>
        <w:t>in</w:t>
      </w:r>
      <w:proofErr w:type="spellEnd"/>
      <w:r w:rsidRPr="005A0D77">
        <w:rPr>
          <w:rFonts w:ascii="Times New Roman" w:hAnsi="Times New Roman" w:cs="Times New Roman"/>
        </w:rPr>
        <w:t xml:space="preserve"> </w:t>
      </w:r>
      <w:proofErr w:type="spellStart"/>
      <w:r w:rsidRPr="005A0D77">
        <w:rPr>
          <w:rFonts w:ascii="Times New Roman" w:hAnsi="Times New Roman" w:cs="Times New Roman"/>
        </w:rPr>
        <w:t>patients</w:t>
      </w:r>
      <w:proofErr w:type="spellEnd"/>
      <w:r w:rsidRPr="005A0D77">
        <w:rPr>
          <w:rFonts w:ascii="Times New Roman" w:hAnsi="Times New Roman" w:cs="Times New Roman"/>
        </w:rPr>
        <w:t xml:space="preserve"> </w:t>
      </w:r>
      <w:proofErr w:type="spellStart"/>
      <w:r w:rsidRPr="005A0D77">
        <w:rPr>
          <w:rFonts w:ascii="Times New Roman" w:hAnsi="Times New Roman" w:cs="Times New Roman"/>
        </w:rPr>
        <w:t>with</w:t>
      </w:r>
      <w:proofErr w:type="spellEnd"/>
      <w:r w:rsidRPr="005A0D77">
        <w:rPr>
          <w:rFonts w:ascii="Times New Roman" w:hAnsi="Times New Roman" w:cs="Times New Roman"/>
        </w:rPr>
        <w:t xml:space="preserve"> </w:t>
      </w:r>
      <w:proofErr w:type="spellStart"/>
      <w:r w:rsidRPr="005A0D77">
        <w:rPr>
          <w:rFonts w:ascii="Times New Roman" w:hAnsi="Times New Roman" w:cs="Times New Roman"/>
        </w:rPr>
        <w:t>generalized</w:t>
      </w:r>
      <w:proofErr w:type="spellEnd"/>
      <w:r w:rsidRPr="005A0D77">
        <w:rPr>
          <w:rFonts w:ascii="Times New Roman" w:hAnsi="Times New Roman" w:cs="Times New Roman"/>
        </w:rPr>
        <w:t xml:space="preserve"> </w:t>
      </w:r>
      <w:proofErr w:type="spellStart"/>
      <w:r w:rsidRPr="005A0D77">
        <w:rPr>
          <w:rFonts w:ascii="Times New Roman" w:hAnsi="Times New Roman" w:cs="Times New Roman"/>
        </w:rPr>
        <w:t>myasthenia</w:t>
      </w:r>
      <w:proofErr w:type="spellEnd"/>
      <w:r w:rsidRPr="005A0D77">
        <w:rPr>
          <w:rFonts w:ascii="Times New Roman" w:hAnsi="Times New Roman" w:cs="Times New Roman"/>
        </w:rPr>
        <w:t xml:space="preserve"> </w:t>
      </w:r>
      <w:proofErr w:type="spellStart"/>
      <w:r w:rsidRPr="005A0D77">
        <w:rPr>
          <w:rFonts w:ascii="Times New Roman" w:hAnsi="Times New Roman" w:cs="Times New Roman"/>
        </w:rPr>
        <w:t>gravis</w:t>
      </w:r>
      <w:proofErr w:type="spellEnd"/>
      <w:r w:rsidRPr="005A0D77">
        <w:rPr>
          <w:rFonts w:ascii="Times New Roman" w:hAnsi="Times New Roman" w:cs="Times New Roman"/>
        </w:rPr>
        <w:t xml:space="preserve"> (ARGX-113): a </w:t>
      </w:r>
      <w:proofErr w:type="spellStart"/>
      <w:r w:rsidRPr="005A0D77">
        <w:rPr>
          <w:rFonts w:ascii="Times New Roman" w:hAnsi="Times New Roman" w:cs="Times New Roman"/>
        </w:rPr>
        <w:t>multicentre</w:t>
      </w:r>
      <w:proofErr w:type="spellEnd"/>
      <w:r w:rsidRPr="005A0D77">
        <w:rPr>
          <w:rFonts w:ascii="Times New Roman" w:hAnsi="Times New Roman" w:cs="Times New Roman"/>
        </w:rPr>
        <w:t xml:space="preserve">, </w:t>
      </w:r>
      <w:proofErr w:type="spellStart"/>
      <w:r w:rsidRPr="005A0D77">
        <w:rPr>
          <w:rFonts w:ascii="Times New Roman" w:hAnsi="Times New Roman" w:cs="Times New Roman"/>
        </w:rPr>
        <w:t>randomised</w:t>
      </w:r>
      <w:proofErr w:type="spellEnd"/>
      <w:r w:rsidRPr="005A0D77">
        <w:rPr>
          <w:rFonts w:ascii="Times New Roman" w:hAnsi="Times New Roman" w:cs="Times New Roman"/>
        </w:rPr>
        <w:t>, placebo-</w:t>
      </w:r>
      <w:proofErr w:type="spellStart"/>
      <w:r w:rsidRPr="005A0D77">
        <w:rPr>
          <w:rFonts w:ascii="Times New Roman" w:hAnsi="Times New Roman" w:cs="Times New Roman"/>
        </w:rPr>
        <w:t>controlled</w:t>
      </w:r>
      <w:proofErr w:type="spellEnd"/>
      <w:r w:rsidRPr="005A0D77">
        <w:rPr>
          <w:rFonts w:ascii="Times New Roman" w:hAnsi="Times New Roman" w:cs="Times New Roman"/>
        </w:rPr>
        <w:t xml:space="preserve">, </w:t>
      </w:r>
      <w:proofErr w:type="spellStart"/>
      <w:r w:rsidRPr="005A0D77">
        <w:rPr>
          <w:rFonts w:ascii="Times New Roman" w:hAnsi="Times New Roman" w:cs="Times New Roman"/>
        </w:rPr>
        <w:t>phase</w:t>
      </w:r>
      <w:proofErr w:type="spellEnd"/>
      <w:r w:rsidRPr="005A0D77">
        <w:rPr>
          <w:rFonts w:ascii="Times New Roman" w:hAnsi="Times New Roman" w:cs="Times New Roman"/>
        </w:rPr>
        <w:t xml:space="preserve"> 3 </w:t>
      </w:r>
      <w:proofErr w:type="spellStart"/>
      <w:r w:rsidRPr="005A0D77">
        <w:rPr>
          <w:rFonts w:ascii="Times New Roman" w:hAnsi="Times New Roman" w:cs="Times New Roman"/>
        </w:rPr>
        <w:t>study</w:t>
      </w:r>
      <w:proofErr w:type="spellEnd"/>
      <w:r w:rsidRPr="005A0D77">
        <w:rPr>
          <w:rFonts w:ascii="Times New Roman" w:hAnsi="Times New Roman" w:cs="Times New Roman"/>
        </w:rPr>
        <w:t xml:space="preserve">." </w:t>
      </w:r>
      <w:proofErr w:type="spellStart"/>
      <w:r w:rsidRPr="005A0D77">
        <w:rPr>
          <w:rFonts w:ascii="Times New Roman" w:hAnsi="Times New Roman" w:cs="Times New Roman"/>
          <w:i/>
          <w:iCs/>
        </w:rPr>
        <w:t>The</w:t>
      </w:r>
      <w:proofErr w:type="spellEnd"/>
      <w:r w:rsidRPr="005A0D77">
        <w:rPr>
          <w:rFonts w:ascii="Times New Roman" w:hAnsi="Times New Roman" w:cs="Times New Roman"/>
          <w:i/>
          <w:iCs/>
        </w:rPr>
        <w:t xml:space="preserve"> Lancet </w:t>
      </w:r>
      <w:proofErr w:type="spellStart"/>
      <w:r w:rsidRPr="005A0D77">
        <w:rPr>
          <w:rFonts w:ascii="Times New Roman" w:hAnsi="Times New Roman" w:cs="Times New Roman"/>
          <w:i/>
          <w:iCs/>
        </w:rPr>
        <w:t>Neurology</w:t>
      </w:r>
      <w:proofErr w:type="spellEnd"/>
      <w:r w:rsidRPr="005A0D77">
        <w:rPr>
          <w:rFonts w:ascii="Times New Roman" w:hAnsi="Times New Roman" w:cs="Times New Roman"/>
        </w:rPr>
        <w:t>, 2021.</w:t>
      </w:r>
    </w:p>
    <w:p w14:paraId="7B24F890" w14:textId="357B0104" w:rsidR="005A0D77" w:rsidRDefault="005A0D77" w:rsidP="005A0D77">
      <w:pPr>
        <w:pStyle w:val="ListParagraph"/>
        <w:numPr>
          <w:ilvl w:val="0"/>
          <w:numId w:val="15"/>
        </w:numPr>
        <w:spacing w:after="0" w:line="276" w:lineRule="auto"/>
        <w:jc w:val="both"/>
        <w:rPr>
          <w:rFonts w:ascii="Times New Roman" w:hAnsi="Times New Roman" w:cs="Times New Roman"/>
        </w:rPr>
      </w:pPr>
      <w:proofErr w:type="spellStart"/>
      <w:r w:rsidRPr="005A0D77">
        <w:rPr>
          <w:rFonts w:ascii="Times New Roman" w:hAnsi="Times New Roman" w:cs="Times New Roman"/>
        </w:rPr>
        <w:t>Burman</w:t>
      </w:r>
      <w:proofErr w:type="spellEnd"/>
      <w:r w:rsidRPr="005A0D77">
        <w:rPr>
          <w:rFonts w:ascii="Times New Roman" w:hAnsi="Times New Roman" w:cs="Times New Roman"/>
        </w:rPr>
        <w:t xml:space="preserve">, J., </w:t>
      </w:r>
      <w:proofErr w:type="spellStart"/>
      <w:r w:rsidRPr="005A0D77">
        <w:rPr>
          <w:rFonts w:ascii="Times New Roman" w:hAnsi="Times New Roman" w:cs="Times New Roman"/>
        </w:rPr>
        <w:t>et</w:t>
      </w:r>
      <w:proofErr w:type="spellEnd"/>
      <w:r w:rsidRPr="005A0D77">
        <w:rPr>
          <w:rFonts w:ascii="Times New Roman" w:hAnsi="Times New Roman" w:cs="Times New Roman"/>
        </w:rPr>
        <w:t xml:space="preserve"> </w:t>
      </w:r>
      <w:proofErr w:type="spellStart"/>
      <w:r w:rsidRPr="005A0D77">
        <w:rPr>
          <w:rFonts w:ascii="Times New Roman" w:hAnsi="Times New Roman" w:cs="Times New Roman"/>
        </w:rPr>
        <w:t>al</w:t>
      </w:r>
      <w:proofErr w:type="spellEnd"/>
      <w:r w:rsidRPr="005A0D77">
        <w:rPr>
          <w:rFonts w:ascii="Times New Roman" w:hAnsi="Times New Roman" w:cs="Times New Roman"/>
        </w:rPr>
        <w:t>. "</w:t>
      </w:r>
      <w:proofErr w:type="spellStart"/>
      <w:r w:rsidRPr="005A0D77">
        <w:rPr>
          <w:rFonts w:ascii="Times New Roman" w:hAnsi="Times New Roman" w:cs="Times New Roman"/>
        </w:rPr>
        <w:t>Efficacy</w:t>
      </w:r>
      <w:proofErr w:type="spellEnd"/>
      <w:r w:rsidRPr="005A0D77">
        <w:rPr>
          <w:rFonts w:ascii="Times New Roman" w:hAnsi="Times New Roman" w:cs="Times New Roman"/>
        </w:rPr>
        <w:t xml:space="preserve"> </w:t>
      </w:r>
      <w:proofErr w:type="spellStart"/>
      <w:r w:rsidRPr="005A0D77">
        <w:rPr>
          <w:rFonts w:ascii="Times New Roman" w:hAnsi="Times New Roman" w:cs="Times New Roman"/>
        </w:rPr>
        <w:t>and</w:t>
      </w:r>
      <w:proofErr w:type="spellEnd"/>
      <w:r w:rsidRPr="005A0D77">
        <w:rPr>
          <w:rFonts w:ascii="Times New Roman" w:hAnsi="Times New Roman" w:cs="Times New Roman"/>
        </w:rPr>
        <w:t xml:space="preserve"> </w:t>
      </w:r>
      <w:proofErr w:type="spellStart"/>
      <w:r w:rsidRPr="005A0D77">
        <w:rPr>
          <w:rFonts w:ascii="Times New Roman" w:hAnsi="Times New Roman" w:cs="Times New Roman"/>
        </w:rPr>
        <w:t>safety</w:t>
      </w:r>
      <w:proofErr w:type="spellEnd"/>
      <w:r w:rsidRPr="005A0D77">
        <w:rPr>
          <w:rFonts w:ascii="Times New Roman" w:hAnsi="Times New Roman" w:cs="Times New Roman"/>
        </w:rPr>
        <w:t xml:space="preserve"> </w:t>
      </w:r>
      <w:proofErr w:type="spellStart"/>
      <w:r w:rsidRPr="005A0D77">
        <w:rPr>
          <w:rFonts w:ascii="Times New Roman" w:hAnsi="Times New Roman" w:cs="Times New Roman"/>
        </w:rPr>
        <w:t>of</w:t>
      </w:r>
      <w:proofErr w:type="spellEnd"/>
      <w:r w:rsidRPr="005A0D77">
        <w:rPr>
          <w:rFonts w:ascii="Times New Roman" w:hAnsi="Times New Roman" w:cs="Times New Roman"/>
        </w:rPr>
        <w:t xml:space="preserve"> </w:t>
      </w:r>
      <w:proofErr w:type="spellStart"/>
      <w:r w:rsidRPr="005A0D77">
        <w:rPr>
          <w:rFonts w:ascii="Times New Roman" w:hAnsi="Times New Roman" w:cs="Times New Roman"/>
        </w:rPr>
        <w:t>efgartigimod</w:t>
      </w:r>
      <w:proofErr w:type="spellEnd"/>
      <w:r w:rsidRPr="005A0D77">
        <w:rPr>
          <w:rFonts w:ascii="Times New Roman" w:hAnsi="Times New Roman" w:cs="Times New Roman"/>
        </w:rPr>
        <w:t xml:space="preserve"> </w:t>
      </w:r>
      <w:proofErr w:type="spellStart"/>
      <w:r w:rsidRPr="005A0D77">
        <w:rPr>
          <w:rFonts w:ascii="Times New Roman" w:hAnsi="Times New Roman" w:cs="Times New Roman"/>
        </w:rPr>
        <w:t>in</w:t>
      </w:r>
      <w:proofErr w:type="spellEnd"/>
      <w:r w:rsidRPr="005A0D77">
        <w:rPr>
          <w:rFonts w:ascii="Times New Roman" w:hAnsi="Times New Roman" w:cs="Times New Roman"/>
        </w:rPr>
        <w:t xml:space="preserve"> </w:t>
      </w:r>
      <w:proofErr w:type="spellStart"/>
      <w:r w:rsidRPr="005A0D77">
        <w:rPr>
          <w:rFonts w:ascii="Times New Roman" w:hAnsi="Times New Roman" w:cs="Times New Roman"/>
        </w:rPr>
        <w:t>patients</w:t>
      </w:r>
      <w:proofErr w:type="spellEnd"/>
      <w:r w:rsidRPr="005A0D77">
        <w:rPr>
          <w:rFonts w:ascii="Times New Roman" w:hAnsi="Times New Roman" w:cs="Times New Roman"/>
        </w:rPr>
        <w:t xml:space="preserve"> </w:t>
      </w:r>
      <w:proofErr w:type="spellStart"/>
      <w:r w:rsidRPr="005A0D77">
        <w:rPr>
          <w:rFonts w:ascii="Times New Roman" w:hAnsi="Times New Roman" w:cs="Times New Roman"/>
        </w:rPr>
        <w:t>with</w:t>
      </w:r>
      <w:proofErr w:type="spellEnd"/>
      <w:r w:rsidRPr="005A0D77">
        <w:rPr>
          <w:rFonts w:ascii="Times New Roman" w:hAnsi="Times New Roman" w:cs="Times New Roman"/>
        </w:rPr>
        <w:t xml:space="preserve"> </w:t>
      </w:r>
      <w:proofErr w:type="spellStart"/>
      <w:r w:rsidRPr="005A0D77">
        <w:rPr>
          <w:rFonts w:ascii="Times New Roman" w:hAnsi="Times New Roman" w:cs="Times New Roman"/>
        </w:rPr>
        <w:t>generalized</w:t>
      </w:r>
      <w:proofErr w:type="spellEnd"/>
      <w:r w:rsidRPr="005A0D77">
        <w:rPr>
          <w:rFonts w:ascii="Times New Roman" w:hAnsi="Times New Roman" w:cs="Times New Roman"/>
        </w:rPr>
        <w:t xml:space="preserve"> </w:t>
      </w:r>
      <w:proofErr w:type="spellStart"/>
      <w:r w:rsidRPr="005A0D77">
        <w:rPr>
          <w:rFonts w:ascii="Times New Roman" w:hAnsi="Times New Roman" w:cs="Times New Roman"/>
        </w:rPr>
        <w:t>myasthenia</w:t>
      </w:r>
      <w:proofErr w:type="spellEnd"/>
      <w:r w:rsidRPr="005A0D77">
        <w:rPr>
          <w:rFonts w:ascii="Times New Roman" w:hAnsi="Times New Roman" w:cs="Times New Roman"/>
        </w:rPr>
        <w:t xml:space="preserve"> </w:t>
      </w:r>
      <w:proofErr w:type="spellStart"/>
      <w:r w:rsidRPr="005A0D77">
        <w:rPr>
          <w:rFonts w:ascii="Times New Roman" w:hAnsi="Times New Roman" w:cs="Times New Roman"/>
        </w:rPr>
        <w:t>gravis</w:t>
      </w:r>
      <w:proofErr w:type="spellEnd"/>
      <w:r w:rsidRPr="005A0D77">
        <w:rPr>
          <w:rFonts w:ascii="Times New Roman" w:hAnsi="Times New Roman" w:cs="Times New Roman"/>
        </w:rPr>
        <w:t xml:space="preserve">: ADAPT-SC plus </w:t>
      </w:r>
      <w:proofErr w:type="spellStart"/>
      <w:r w:rsidRPr="005A0D77">
        <w:rPr>
          <w:rFonts w:ascii="Times New Roman" w:hAnsi="Times New Roman" w:cs="Times New Roman"/>
        </w:rPr>
        <w:t>long</w:t>
      </w:r>
      <w:proofErr w:type="spellEnd"/>
      <w:r w:rsidRPr="005A0D77">
        <w:rPr>
          <w:rFonts w:ascii="Times New Roman" w:hAnsi="Times New Roman" w:cs="Times New Roman"/>
        </w:rPr>
        <w:t xml:space="preserve">-term </w:t>
      </w:r>
      <w:proofErr w:type="spellStart"/>
      <w:r w:rsidRPr="005A0D77">
        <w:rPr>
          <w:rFonts w:ascii="Times New Roman" w:hAnsi="Times New Roman" w:cs="Times New Roman"/>
        </w:rPr>
        <w:t>safety</w:t>
      </w:r>
      <w:proofErr w:type="spellEnd"/>
      <w:r w:rsidRPr="005A0D77">
        <w:rPr>
          <w:rFonts w:ascii="Times New Roman" w:hAnsi="Times New Roman" w:cs="Times New Roman"/>
        </w:rPr>
        <w:t xml:space="preserve"> </w:t>
      </w:r>
      <w:proofErr w:type="spellStart"/>
      <w:r w:rsidRPr="005A0D77">
        <w:rPr>
          <w:rFonts w:ascii="Times New Roman" w:hAnsi="Times New Roman" w:cs="Times New Roman"/>
        </w:rPr>
        <w:t>and</w:t>
      </w:r>
      <w:proofErr w:type="spellEnd"/>
      <w:r w:rsidRPr="005A0D77">
        <w:rPr>
          <w:rFonts w:ascii="Times New Roman" w:hAnsi="Times New Roman" w:cs="Times New Roman"/>
        </w:rPr>
        <w:t xml:space="preserve"> </w:t>
      </w:r>
      <w:proofErr w:type="spellStart"/>
      <w:r w:rsidRPr="005A0D77">
        <w:rPr>
          <w:rFonts w:ascii="Times New Roman" w:hAnsi="Times New Roman" w:cs="Times New Roman"/>
        </w:rPr>
        <w:t>efficacy</w:t>
      </w:r>
      <w:proofErr w:type="spellEnd"/>
      <w:r w:rsidRPr="005A0D77">
        <w:rPr>
          <w:rFonts w:ascii="Times New Roman" w:hAnsi="Times New Roman" w:cs="Times New Roman"/>
        </w:rPr>
        <w:t xml:space="preserve"> </w:t>
      </w:r>
      <w:proofErr w:type="spellStart"/>
      <w:r w:rsidRPr="005A0D77">
        <w:rPr>
          <w:rFonts w:ascii="Times New Roman" w:hAnsi="Times New Roman" w:cs="Times New Roman"/>
        </w:rPr>
        <w:t>data</w:t>
      </w:r>
      <w:proofErr w:type="spellEnd"/>
      <w:r w:rsidRPr="005A0D77">
        <w:rPr>
          <w:rFonts w:ascii="Times New Roman" w:hAnsi="Times New Roman" w:cs="Times New Roman"/>
        </w:rPr>
        <w:t xml:space="preserve">." </w:t>
      </w:r>
      <w:proofErr w:type="spellStart"/>
      <w:r w:rsidRPr="005A0D77">
        <w:rPr>
          <w:rFonts w:ascii="Times New Roman" w:hAnsi="Times New Roman" w:cs="Times New Roman"/>
          <w:i/>
          <w:iCs/>
        </w:rPr>
        <w:t>Abstracts</w:t>
      </w:r>
      <w:proofErr w:type="spellEnd"/>
      <w:r w:rsidRPr="005A0D77">
        <w:rPr>
          <w:rFonts w:ascii="Times New Roman" w:hAnsi="Times New Roman" w:cs="Times New Roman"/>
          <w:i/>
          <w:iCs/>
        </w:rPr>
        <w:t xml:space="preserve"> </w:t>
      </w:r>
      <w:proofErr w:type="spellStart"/>
      <w:r w:rsidRPr="005A0D77">
        <w:rPr>
          <w:rFonts w:ascii="Times New Roman" w:hAnsi="Times New Roman" w:cs="Times New Roman"/>
          <w:i/>
          <w:iCs/>
        </w:rPr>
        <w:t>from</w:t>
      </w:r>
      <w:proofErr w:type="spellEnd"/>
      <w:r w:rsidRPr="005A0D77">
        <w:rPr>
          <w:rFonts w:ascii="Times New Roman" w:hAnsi="Times New Roman" w:cs="Times New Roman"/>
          <w:i/>
          <w:iCs/>
        </w:rPr>
        <w:t xml:space="preserve"> </w:t>
      </w:r>
      <w:proofErr w:type="spellStart"/>
      <w:r w:rsidRPr="005A0D77">
        <w:rPr>
          <w:rFonts w:ascii="Times New Roman" w:hAnsi="Times New Roman" w:cs="Times New Roman"/>
          <w:i/>
          <w:iCs/>
        </w:rPr>
        <w:t>the</w:t>
      </w:r>
      <w:proofErr w:type="spellEnd"/>
      <w:r w:rsidRPr="005A0D77">
        <w:rPr>
          <w:rFonts w:ascii="Times New Roman" w:hAnsi="Times New Roman" w:cs="Times New Roman"/>
          <w:i/>
          <w:iCs/>
        </w:rPr>
        <w:t xml:space="preserve"> American </w:t>
      </w:r>
      <w:proofErr w:type="spellStart"/>
      <w:r w:rsidRPr="005A0D77">
        <w:rPr>
          <w:rFonts w:ascii="Times New Roman" w:hAnsi="Times New Roman" w:cs="Times New Roman"/>
          <w:i/>
          <w:iCs/>
        </w:rPr>
        <w:t>Academy</w:t>
      </w:r>
      <w:proofErr w:type="spellEnd"/>
      <w:r w:rsidRPr="005A0D77">
        <w:rPr>
          <w:rFonts w:ascii="Times New Roman" w:hAnsi="Times New Roman" w:cs="Times New Roman"/>
          <w:i/>
          <w:iCs/>
        </w:rPr>
        <w:t xml:space="preserve"> </w:t>
      </w:r>
      <w:proofErr w:type="spellStart"/>
      <w:r w:rsidRPr="005A0D77">
        <w:rPr>
          <w:rFonts w:ascii="Times New Roman" w:hAnsi="Times New Roman" w:cs="Times New Roman"/>
          <w:i/>
          <w:iCs/>
        </w:rPr>
        <w:t>of</w:t>
      </w:r>
      <w:proofErr w:type="spellEnd"/>
      <w:r w:rsidRPr="005A0D77">
        <w:rPr>
          <w:rFonts w:ascii="Times New Roman" w:hAnsi="Times New Roman" w:cs="Times New Roman"/>
          <w:i/>
          <w:iCs/>
        </w:rPr>
        <w:t xml:space="preserve"> </w:t>
      </w:r>
      <w:proofErr w:type="spellStart"/>
      <w:r w:rsidRPr="005A0D77">
        <w:rPr>
          <w:rFonts w:ascii="Times New Roman" w:hAnsi="Times New Roman" w:cs="Times New Roman"/>
          <w:i/>
          <w:iCs/>
        </w:rPr>
        <w:t>Neurology</w:t>
      </w:r>
      <w:proofErr w:type="spellEnd"/>
      <w:r w:rsidRPr="005A0D77">
        <w:rPr>
          <w:rFonts w:ascii="Times New Roman" w:hAnsi="Times New Roman" w:cs="Times New Roman"/>
          <w:i/>
          <w:iCs/>
        </w:rPr>
        <w:t xml:space="preserve"> (AAN) </w:t>
      </w:r>
      <w:proofErr w:type="spellStart"/>
      <w:r w:rsidRPr="005A0D77">
        <w:rPr>
          <w:rFonts w:ascii="Times New Roman" w:hAnsi="Times New Roman" w:cs="Times New Roman"/>
          <w:i/>
          <w:iCs/>
        </w:rPr>
        <w:t>Annual</w:t>
      </w:r>
      <w:proofErr w:type="spellEnd"/>
      <w:r w:rsidRPr="005A0D77">
        <w:rPr>
          <w:rFonts w:ascii="Times New Roman" w:hAnsi="Times New Roman" w:cs="Times New Roman"/>
          <w:i/>
          <w:iCs/>
        </w:rPr>
        <w:t xml:space="preserve"> </w:t>
      </w:r>
      <w:proofErr w:type="spellStart"/>
      <w:r w:rsidRPr="005A0D77">
        <w:rPr>
          <w:rFonts w:ascii="Times New Roman" w:hAnsi="Times New Roman" w:cs="Times New Roman"/>
          <w:i/>
          <w:iCs/>
        </w:rPr>
        <w:t>Meeting</w:t>
      </w:r>
      <w:proofErr w:type="spellEnd"/>
      <w:r w:rsidRPr="005A0D77">
        <w:rPr>
          <w:rFonts w:ascii="Times New Roman" w:hAnsi="Times New Roman" w:cs="Times New Roman"/>
        </w:rPr>
        <w:t>, 2024.</w:t>
      </w:r>
    </w:p>
    <w:p w14:paraId="3C5DF407" w14:textId="280AAB6B" w:rsidR="005A0D77" w:rsidRDefault="005A0D77" w:rsidP="005A0D77">
      <w:pPr>
        <w:pStyle w:val="ListParagraph"/>
        <w:numPr>
          <w:ilvl w:val="0"/>
          <w:numId w:val="15"/>
        </w:numPr>
        <w:spacing w:after="0" w:line="276" w:lineRule="auto"/>
        <w:jc w:val="both"/>
        <w:rPr>
          <w:rFonts w:ascii="Times New Roman" w:hAnsi="Times New Roman" w:cs="Times New Roman"/>
        </w:rPr>
      </w:pPr>
      <w:proofErr w:type="spellStart"/>
      <w:r w:rsidRPr="005A0D77">
        <w:rPr>
          <w:rFonts w:ascii="Times New Roman" w:hAnsi="Times New Roman" w:cs="Times New Roman"/>
        </w:rPr>
        <w:t>Pryma</w:t>
      </w:r>
      <w:proofErr w:type="spellEnd"/>
      <w:r w:rsidRPr="005A0D77">
        <w:rPr>
          <w:rFonts w:ascii="Times New Roman" w:hAnsi="Times New Roman" w:cs="Times New Roman"/>
        </w:rPr>
        <w:t xml:space="preserve">, C., </w:t>
      </w:r>
      <w:proofErr w:type="spellStart"/>
      <w:r w:rsidRPr="005A0D77">
        <w:rPr>
          <w:rFonts w:ascii="Times New Roman" w:hAnsi="Times New Roman" w:cs="Times New Roman"/>
        </w:rPr>
        <w:t>et</w:t>
      </w:r>
      <w:proofErr w:type="spellEnd"/>
      <w:r w:rsidRPr="005A0D77">
        <w:rPr>
          <w:rFonts w:ascii="Times New Roman" w:hAnsi="Times New Roman" w:cs="Times New Roman"/>
        </w:rPr>
        <w:t xml:space="preserve"> </w:t>
      </w:r>
      <w:proofErr w:type="spellStart"/>
      <w:r w:rsidRPr="005A0D77">
        <w:rPr>
          <w:rFonts w:ascii="Times New Roman" w:hAnsi="Times New Roman" w:cs="Times New Roman"/>
        </w:rPr>
        <w:t>al</w:t>
      </w:r>
      <w:proofErr w:type="spellEnd"/>
      <w:r w:rsidRPr="005A0D77">
        <w:rPr>
          <w:rFonts w:ascii="Times New Roman" w:hAnsi="Times New Roman" w:cs="Times New Roman"/>
        </w:rPr>
        <w:t>. "</w:t>
      </w:r>
      <w:proofErr w:type="spellStart"/>
      <w:r w:rsidRPr="005A0D77">
        <w:rPr>
          <w:rFonts w:ascii="Times New Roman" w:hAnsi="Times New Roman" w:cs="Times New Roman"/>
        </w:rPr>
        <w:t>Effect</w:t>
      </w:r>
      <w:proofErr w:type="spellEnd"/>
      <w:r w:rsidRPr="005A0D77">
        <w:rPr>
          <w:rFonts w:ascii="Times New Roman" w:hAnsi="Times New Roman" w:cs="Times New Roman"/>
        </w:rPr>
        <w:t xml:space="preserve"> </w:t>
      </w:r>
      <w:proofErr w:type="spellStart"/>
      <w:r w:rsidRPr="005A0D77">
        <w:rPr>
          <w:rFonts w:ascii="Times New Roman" w:hAnsi="Times New Roman" w:cs="Times New Roman"/>
        </w:rPr>
        <w:t>of</w:t>
      </w:r>
      <w:proofErr w:type="spellEnd"/>
      <w:r w:rsidRPr="005A0D77">
        <w:rPr>
          <w:rFonts w:ascii="Times New Roman" w:hAnsi="Times New Roman" w:cs="Times New Roman"/>
        </w:rPr>
        <w:t xml:space="preserve"> </w:t>
      </w:r>
      <w:proofErr w:type="spellStart"/>
      <w:r w:rsidRPr="005A0D77">
        <w:rPr>
          <w:rFonts w:ascii="Times New Roman" w:hAnsi="Times New Roman" w:cs="Times New Roman"/>
        </w:rPr>
        <w:t>efgartigimod</w:t>
      </w:r>
      <w:proofErr w:type="spellEnd"/>
      <w:r w:rsidRPr="005A0D77">
        <w:rPr>
          <w:rFonts w:ascii="Times New Roman" w:hAnsi="Times New Roman" w:cs="Times New Roman"/>
        </w:rPr>
        <w:t xml:space="preserve"> </w:t>
      </w:r>
      <w:proofErr w:type="spellStart"/>
      <w:r w:rsidRPr="005A0D77">
        <w:rPr>
          <w:rFonts w:ascii="Times New Roman" w:hAnsi="Times New Roman" w:cs="Times New Roman"/>
        </w:rPr>
        <w:t>on</w:t>
      </w:r>
      <w:proofErr w:type="spellEnd"/>
      <w:r w:rsidRPr="005A0D77">
        <w:rPr>
          <w:rFonts w:ascii="Times New Roman" w:hAnsi="Times New Roman" w:cs="Times New Roman"/>
        </w:rPr>
        <w:t xml:space="preserve"> </w:t>
      </w:r>
      <w:proofErr w:type="spellStart"/>
      <w:r w:rsidRPr="005A0D77">
        <w:rPr>
          <w:rFonts w:ascii="Times New Roman" w:hAnsi="Times New Roman" w:cs="Times New Roman"/>
        </w:rPr>
        <w:t>patient-reported</w:t>
      </w:r>
      <w:proofErr w:type="spellEnd"/>
      <w:r w:rsidRPr="005A0D77">
        <w:rPr>
          <w:rFonts w:ascii="Times New Roman" w:hAnsi="Times New Roman" w:cs="Times New Roman"/>
        </w:rPr>
        <w:t xml:space="preserve"> </w:t>
      </w:r>
      <w:proofErr w:type="spellStart"/>
      <w:r w:rsidRPr="005A0D77">
        <w:rPr>
          <w:rFonts w:ascii="Times New Roman" w:hAnsi="Times New Roman" w:cs="Times New Roman"/>
        </w:rPr>
        <w:t>outcomes</w:t>
      </w:r>
      <w:proofErr w:type="spellEnd"/>
      <w:r w:rsidRPr="005A0D77">
        <w:rPr>
          <w:rFonts w:ascii="Times New Roman" w:hAnsi="Times New Roman" w:cs="Times New Roman"/>
        </w:rPr>
        <w:t xml:space="preserve"> </w:t>
      </w:r>
      <w:proofErr w:type="spellStart"/>
      <w:r w:rsidRPr="005A0D77">
        <w:rPr>
          <w:rFonts w:ascii="Times New Roman" w:hAnsi="Times New Roman" w:cs="Times New Roman"/>
        </w:rPr>
        <w:t>in</w:t>
      </w:r>
      <w:proofErr w:type="spellEnd"/>
      <w:r w:rsidRPr="005A0D77">
        <w:rPr>
          <w:rFonts w:ascii="Times New Roman" w:hAnsi="Times New Roman" w:cs="Times New Roman"/>
        </w:rPr>
        <w:t xml:space="preserve"> </w:t>
      </w:r>
      <w:proofErr w:type="spellStart"/>
      <w:r w:rsidRPr="005A0D77">
        <w:rPr>
          <w:rFonts w:ascii="Times New Roman" w:hAnsi="Times New Roman" w:cs="Times New Roman"/>
        </w:rPr>
        <w:t>generalized</w:t>
      </w:r>
      <w:proofErr w:type="spellEnd"/>
      <w:r w:rsidRPr="005A0D77">
        <w:rPr>
          <w:rFonts w:ascii="Times New Roman" w:hAnsi="Times New Roman" w:cs="Times New Roman"/>
        </w:rPr>
        <w:t xml:space="preserve"> </w:t>
      </w:r>
      <w:proofErr w:type="spellStart"/>
      <w:r w:rsidRPr="005A0D77">
        <w:rPr>
          <w:rFonts w:ascii="Times New Roman" w:hAnsi="Times New Roman" w:cs="Times New Roman"/>
        </w:rPr>
        <w:t>myasthenia</w:t>
      </w:r>
      <w:proofErr w:type="spellEnd"/>
      <w:r w:rsidRPr="005A0D77">
        <w:rPr>
          <w:rFonts w:ascii="Times New Roman" w:hAnsi="Times New Roman" w:cs="Times New Roman"/>
        </w:rPr>
        <w:t xml:space="preserve"> </w:t>
      </w:r>
      <w:proofErr w:type="spellStart"/>
      <w:r w:rsidRPr="005A0D77">
        <w:rPr>
          <w:rFonts w:ascii="Times New Roman" w:hAnsi="Times New Roman" w:cs="Times New Roman"/>
        </w:rPr>
        <w:t>gravis</w:t>
      </w:r>
      <w:proofErr w:type="spellEnd"/>
      <w:r w:rsidRPr="005A0D77">
        <w:rPr>
          <w:rFonts w:ascii="Times New Roman" w:hAnsi="Times New Roman" w:cs="Times New Roman"/>
        </w:rPr>
        <w:t xml:space="preserve">: An </w:t>
      </w:r>
      <w:proofErr w:type="spellStart"/>
      <w:r w:rsidRPr="005A0D77">
        <w:rPr>
          <w:rFonts w:ascii="Times New Roman" w:hAnsi="Times New Roman" w:cs="Times New Roman"/>
        </w:rPr>
        <w:t>analysis</w:t>
      </w:r>
      <w:proofErr w:type="spellEnd"/>
      <w:r w:rsidRPr="005A0D77">
        <w:rPr>
          <w:rFonts w:ascii="Times New Roman" w:hAnsi="Times New Roman" w:cs="Times New Roman"/>
        </w:rPr>
        <w:t xml:space="preserve"> </w:t>
      </w:r>
      <w:proofErr w:type="spellStart"/>
      <w:r w:rsidRPr="005A0D77">
        <w:rPr>
          <w:rFonts w:ascii="Times New Roman" w:hAnsi="Times New Roman" w:cs="Times New Roman"/>
        </w:rPr>
        <w:t>of</w:t>
      </w:r>
      <w:proofErr w:type="spellEnd"/>
      <w:r w:rsidRPr="005A0D77">
        <w:rPr>
          <w:rFonts w:ascii="Times New Roman" w:hAnsi="Times New Roman" w:cs="Times New Roman"/>
        </w:rPr>
        <w:t xml:space="preserve"> </w:t>
      </w:r>
      <w:proofErr w:type="spellStart"/>
      <w:r w:rsidRPr="005A0D77">
        <w:rPr>
          <w:rFonts w:ascii="Times New Roman" w:hAnsi="Times New Roman" w:cs="Times New Roman"/>
        </w:rPr>
        <w:t>the</w:t>
      </w:r>
      <w:proofErr w:type="spellEnd"/>
      <w:r w:rsidRPr="005A0D77">
        <w:rPr>
          <w:rFonts w:ascii="Times New Roman" w:hAnsi="Times New Roman" w:cs="Times New Roman"/>
        </w:rPr>
        <w:t xml:space="preserve"> ADAPT </w:t>
      </w:r>
      <w:proofErr w:type="spellStart"/>
      <w:r w:rsidRPr="005A0D77">
        <w:rPr>
          <w:rFonts w:ascii="Times New Roman" w:hAnsi="Times New Roman" w:cs="Times New Roman"/>
        </w:rPr>
        <w:t>and</w:t>
      </w:r>
      <w:proofErr w:type="spellEnd"/>
      <w:r w:rsidRPr="005A0D77">
        <w:rPr>
          <w:rFonts w:ascii="Times New Roman" w:hAnsi="Times New Roman" w:cs="Times New Roman"/>
        </w:rPr>
        <w:t xml:space="preserve"> ADAPT+ </w:t>
      </w:r>
      <w:proofErr w:type="spellStart"/>
      <w:r w:rsidRPr="005A0D77">
        <w:rPr>
          <w:rFonts w:ascii="Times New Roman" w:hAnsi="Times New Roman" w:cs="Times New Roman"/>
        </w:rPr>
        <w:t>studies</w:t>
      </w:r>
      <w:proofErr w:type="spellEnd"/>
      <w:r w:rsidRPr="005A0D77">
        <w:rPr>
          <w:rFonts w:ascii="Times New Roman" w:hAnsi="Times New Roman" w:cs="Times New Roman"/>
        </w:rPr>
        <w:t xml:space="preserve">." </w:t>
      </w:r>
      <w:proofErr w:type="spellStart"/>
      <w:r w:rsidRPr="005A0D77">
        <w:rPr>
          <w:rFonts w:ascii="Times New Roman" w:hAnsi="Times New Roman" w:cs="Times New Roman"/>
          <w:i/>
          <w:iCs/>
        </w:rPr>
        <w:t>Neurology</w:t>
      </w:r>
      <w:proofErr w:type="spellEnd"/>
      <w:r w:rsidRPr="005A0D77">
        <w:rPr>
          <w:rFonts w:ascii="Times New Roman" w:hAnsi="Times New Roman" w:cs="Times New Roman"/>
          <w:i/>
          <w:iCs/>
        </w:rPr>
        <w:t xml:space="preserve"> </w:t>
      </w:r>
      <w:proofErr w:type="spellStart"/>
      <w:r w:rsidRPr="005A0D77">
        <w:rPr>
          <w:rFonts w:ascii="Times New Roman" w:hAnsi="Times New Roman" w:cs="Times New Roman"/>
          <w:i/>
          <w:iCs/>
        </w:rPr>
        <w:t>and</w:t>
      </w:r>
      <w:proofErr w:type="spellEnd"/>
      <w:r w:rsidRPr="005A0D77">
        <w:rPr>
          <w:rFonts w:ascii="Times New Roman" w:hAnsi="Times New Roman" w:cs="Times New Roman"/>
          <w:i/>
          <w:iCs/>
        </w:rPr>
        <w:t xml:space="preserve"> </w:t>
      </w:r>
      <w:proofErr w:type="spellStart"/>
      <w:r w:rsidRPr="005A0D77">
        <w:rPr>
          <w:rFonts w:ascii="Times New Roman" w:hAnsi="Times New Roman" w:cs="Times New Roman"/>
          <w:i/>
          <w:iCs/>
        </w:rPr>
        <w:t>Therapy</w:t>
      </w:r>
      <w:proofErr w:type="spellEnd"/>
      <w:r w:rsidRPr="005A0D77">
        <w:rPr>
          <w:rFonts w:ascii="Times New Roman" w:hAnsi="Times New Roman" w:cs="Times New Roman"/>
        </w:rPr>
        <w:t>, 2023</w:t>
      </w:r>
      <w:r>
        <w:rPr>
          <w:rFonts w:ascii="Times New Roman" w:hAnsi="Times New Roman" w:cs="Times New Roman"/>
        </w:rPr>
        <w:t>.</w:t>
      </w:r>
    </w:p>
    <w:p w14:paraId="202E1EB1" w14:textId="4DFF8081" w:rsidR="005A0D77" w:rsidRDefault="005A0D77" w:rsidP="005A0D77">
      <w:pPr>
        <w:pStyle w:val="ListParagraph"/>
        <w:numPr>
          <w:ilvl w:val="0"/>
          <w:numId w:val="15"/>
        </w:numPr>
        <w:spacing w:after="0" w:line="276" w:lineRule="auto"/>
        <w:jc w:val="both"/>
        <w:rPr>
          <w:rFonts w:ascii="Times New Roman" w:hAnsi="Times New Roman" w:cs="Times New Roman"/>
        </w:rPr>
      </w:pPr>
      <w:proofErr w:type="spellStart"/>
      <w:r w:rsidRPr="005A0D77">
        <w:rPr>
          <w:rFonts w:ascii="Times New Roman" w:hAnsi="Times New Roman" w:cs="Times New Roman"/>
        </w:rPr>
        <w:t>Cimato</w:t>
      </w:r>
      <w:proofErr w:type="spellEnd"/>
      <w:r w:rsidRPr="005A0D77">
        <w:rPr>
          <w:rFonts w:ascii="Times New Roman" w:hAnsi="Times New Roman" w:cs="Times New Roman"/>
        </w:rPr>
        <w:t xml:space="preserve">, G.R., </w:t>
      </w:r>
      <w:proofErr w:type="spellStart"/>
      <w:r w:rsidRPr="005A0D77">
        <w:rPr>
          <w:rFonts w:ascii="Times New Roman" w:hAnsi="Times New Roman" w:cs="Times New Roman"/>
        </w:rPr>
        <w:t>et</w:t>
      </w:r>
      <w:proofErr w:type="spellEnd"/>
      <w:r w:rsidRPr="005A0D77">
        <w:rPr>
          <w:rFonts w:ascii="Times New Roman" w:hAnsi="Times New Roman" w:cs="Times New Roman"/>
        </w:rPr>
        <w:t xml:space="preserve"> </w:t>
      </w:r>
      <w:proofErr w:type="spellStart"/>
      <w:r w:rsidRPr="005A0D77">
        <w:rPr>
          <w:rFonts w:ascii="Times New Roman" w:hAnsi="Times New Roman" w:cs="Times New Roman"/>
        </w:rPr>
        <w:t>al</w:t>
      </w:r>
      <w:proofErr w:type="spellEnd"/>
      <w:r w:rsidRPr="005A0D77">
        <w:rPr>
          <w:rFonts w:ascii="Times New Roman" w:hAnsi="Times New Roman" w:cs="Times New Roman"/>
        </w:rPr>
        <w:t>. "</w:t>
      </w:r>
      <w:proofErr w:type="spellStart"/>
      <w:r w:rsidRPr="005A0D77">
        <w:rPr>
          <w:rFonts w:ascii="Times New Roman" w:hAnsi="Times New Roman" w:cs="Times New Roman"/>
        </w:rPr>
        <w:t>Current</w:t>
      </w:r>
      <w:proofErr w:type="spellEnd"/>
      <w:r w:rsidRPr="005A0D77">
        <w:rPr>
          <w:rFonts w:ascii="Times New Roman" w:hAnsi="Times New Roman" w:cs="Times New Roman"/>
        </w:rPr>
        <w:t xml:space="preserve"> </w:t>
      </w:r>
      <w:proofErr w:type="spellStart"/>
      <w:r w:rsidRPr="005A0D77">
        <w:rPr>
          <w:rFonts w:ascii="Times New Roman" w:hAnsi="Times New Roman" w:cs="Times New Roman"/>
        </w:rPr>
        <w:t>and</w:t>
      </w:r>
      <w:proofErr w:type="spellEnd"/>
      <w:r w:rsidRPr="005A0D77">
        <w:rPr>
          <w:rFonts w:ascii="Times New Roman" w:hAnsi="Times New Roman" w:cs="Times New Roman"/>
        </w:rPr>
        <w:t xml:space="preserve"> </w:t>
      </w:r>
      <w:proofErr w:type="spellStart"/>
      <w:r w:rsidRPr="005A0D77">
        <w:rPr>
          <w:rFonts w:ascii="Times New Roman" w:hAnsi="Times New Roman" w:cs="Times New Roman"/>
        </w:rPr>
        <w:t>future</w:t>
      </w:r>
      <w:proofErr w:type="spellEnd"/>
      <w:r w:rsidRPr="005A0D77">
        <w:rPr>
          <w:rFonts w:ascii="Times New Roman" w:hAnsi="Times New Roman" w:cs="Times New Roman"/>
        </w:rPr>
        <w:t xml:space="preserve"> </w:t>
      </w:r>
      <w:proofErr w:type="spellStart"/>
      <w:r w:rsidRPr="005A0D77">
        <w:rPr>
          <w:rFonts w:ascii="Times New Roman" w:hAnsi="Times New Roman" w:cs="Times New Roman"/>
        </w:rPr>
        <w:t>treatment</w:t>
      </w:r>
      <w:proofErr w:type="spellEnd"/>
      <w:r w:rsidRPr="005A0D77">
        <w:rPr>
          <w:rFonts w:ascii="Times New Roman" w:hAnsi="Times New Roman" w:cs="Times New Roman"/>
        </w:rPr>
        <w:t xml:space="preserve"> </w:t>
      </w:r>
      <w:proofErr w:type="spellStart"/>
      <w:r w:rsidRPr="005A0D77">
        <w:rPr>
          <w:rFonts w:ascii="Times New Roman" w:hAnsi="Times New Roman" w:cs="Times New Roman"/>
        </w:rPr>
        <w:t>strategies</w:t>
      </w:r>
      <w:proofErr w:type="spellEnd"/>
      <w:r w:rsidRPr="005A0D77">
        <w:rPr>
          <w:rFonts w:ascii="Times New Roman" w:hAnsi="Times New Roman" w:cs="Times New Roman"/>
        </w:rPr>
        <w:t xml:space="preserve"> </w:t>
      </w:r>
      <w:proofErr w:type="spellStart"/>
      <w:r w:rsidRPr="005A0D77">
        <w:rPr>
          <w:rFonts w:ascii="Times New Roman" w:hAnsi="Times New Roman" w:cs="Times New Roman"/>
        </w:rPr>
        <w:t>for</w:t>
      </w:r>
      <w:proofErr w:type="spellEnd"/>
      <w:r w:rsidRPr="005A0D77">
        <w:rPr>
          <w:rFonts w:ascii="Times New Roman" w:hAnsi="Times New Roman" w:cs="Times New Roman"/>
        </w:rPr>
        <w:t xml:space="preserve"> </w:t>
      </w:r>
      <w:proofErr w:type="spellStart"/>
      <w:r w:rsidRPr="005A0D77">
        <w:rPr>
          <w:rFonts w:ascii="Times New Roman" w:hAnsi="Times New Roman" w:cs="Times New Roman"/>
        </w:rPr>
        <w:t>generalized</w:t>
      </w:r>
      <w:proofErr w:type="spellEnd"/>
      <w:r w:rsidRPr="005A0D77">
        <w:rPr>
          <w:rFonts w:ascii="Times New Roman" w:hAnsi="Times New Roman" w:cs="Times New Roman"/>
        </w:rPr>
        <w:t xml:space="preserve"> </w:t>
      </w:r>
      <w:proofErr w:type="spellStart"/>
      <w:r w:rsidRPr="005A0D77">
        <w:rPr>
          <w:rFonts w:ascii="Times New Roman" w:hAnsi="Times New Roman" w:cs="Times New Roman"/>
        </w:rPr>
        <w:t>myasthenia</w:t>
      </w:r>
      <w:proofErr w:type="spellEnd"/>
      <w:r w:rsidRPr="005A0D77">
        <w:rPr>
          <w:rFonts w:ascii="Times New Roman" w:hAnsi="Times New Roman" w:cs="Times New Roman"/>
        </w:rPr>
        <w:t xml:space="preserve"> </w:t>
      </w:r>
      <w:proofErr w:type="spellStart"/>
      <w:r w:rsidRPr="005A0D77">
        <w:rPr>
          <w:rFonts w:ascii="Times New Roman" w:hAnsi="Times New Roman" w:cs="Times New Roman"/>
        </w:rPr>
        <w:t>gravis</w:t>
      </w:r>
      <w:proofErr w:type="spellEnd"/>
      <w:r w:rsidRPr="005A0D77">
        <w:rPr>
          <w:rFonts w:ascii="Times New Roman" w:hAnsi="Times New Roman" w:cs="Times New Roman"/>
        </w:rPr>
        <w:t xml:space="preserve">." </w:t>
      </w:r>
      <w:proofErr w:type="spellStart"/>
      <w:r w:rsidRPr="005A0D77">
        <w:rPr>
          <w:rFonts w:ascii="Times New Roman" w:hAnsi="Times New Roman" w:cs="Times New Roman"/>
          <w:i/>
          <w:iCs/>
        </w:rPr>
        <w:t>Journal</w:t>
      </w:r>
      <w:proofErr w:type="spellEnd"/>
      <w:r w:rsidRPr="005A0D77">
        <w:rPr>
          <w:rFonts w:ascii="Times New Roman" w:hAnsi="Times New Roman" w:cs="Times New Roman"/>
          <w:i/>
          <w:iCs/>
        </w:rPr>
        <w:t xml:space="preserve"> </w:t>
      </w:r>
      <w:proofErr w:type="spellStart"/>
      <w:r w:rsidRPr="005A0D77">
        <w:rPr>
          <w:rFonts w:ascii="Times New Roman" w:hAnsi="Times New Roman" w:cs="Times New Roman"/>
          <w:i/>
          <w:iCs/>
        </w:rPr>
        <w:t>of</w:t>
      </w:r>
      <w:proofErr w:type="spellEnd"/>
      <w:r w:rsidRPr="005A0D77">
        <w:rPr>
          <w:rFonts w:ascii="Times New Roman" w:hAnsi="Times New Roman" w:cs="Times New Roman"/>
          <w:i/>
          <w:iCs/>
        </w:rPr>
        <w:t xml:space="preserve"> </w:t>
      </w:r>
      <w:proofErr w:type="spellStart"/>
      <w:r w:rsidRPr="005A0D77">
        <w:rPr>
          <w:rFonts w:ascii="Times New Roman" w:hAnsi="Times New Roman" w:cs="Times New Roman"/>
          <w:i/>
          <w:iCs/>
        </w:rPr>
        <w:t>Neuromuscular</w:t>
      </w:r>
      <w:proofErr w:type="spellEnd"/>
      <w:r w:rsidRPr="005A0D77">
        <w:rPr>
          <w:rFonts w:ascii="Times New Roman" w:hAnsi="Times New Roman" w:cs="Times New Roman"/>
          <w:i/>
          <w:iCs/>
        </w:rPr>
        <w:t xml:space="preserve"> </w:t>
      </w:r>
      <w:proofErr w:type="spellStart"/>
      <w:r w:rsidRPr="005A0D77">
        <w:rPr>
          <w:rFonts w:ascii="Times New Roman" w:hAnsi="Times New Roman" w:cs="Times New Roman"/>
          <w:i/>
          <w:iCs/>
        </w:rPr>
        <w:t>Diseases</w:t>
      </w:r>
      <w:proofErr w:type="spellEnd"/>
      <w:r w:rsidRPr="005A0D77">
        <w:rPr>
          <w:rFonts w:ascii="Times New Roman" w:hAnsi="Times New Roman" w:cs="Times New Roman"/>
        </w:rPr>
        <w:t>, 2024.</w:t>
      </w:r>
    </w:p>
    <w:p w14:paraId="78621164" w14:textId="00087773" w:rsidR="005A0D77" w:rsidRPr="005A0D77" w:rsidRDefault="005A0D77" w:rsidP="005A0D77">
      <w:pPr>
        <w:pStyle w:val="ListParagraph"/>
        <w:numPr>
          <w:ilvl w:val="0"/>
          <w:numId w:val="15"/>
        </w:numPr>
        <w:spacing w:after="0" w:line="276" w:lineRule="auto"/>
        <w:jc w:val="both"/>
        <w:rPr>
          <w:rFonts w:ascii="Times New Roman" w:hAnsi="Times New Roman" w:cs="Times New Roman"/>
        </w:rPr>
      </w:pPr>
      <w:proofErr w:type="spellStart"/>
      <w:r w:rsidRPr="005A0D77">
        <w:rPr>
          <w:rFonts w:ascii="Times New Roman" w:hAnsi="Times New Roman" w:cs="Times New Roman"/>
        </w:rPr>
        <w:t>Mantegazza</w:t>
      </w:r>
      <w:proofErr w:type="spellEnd"/>
      <w:r w:rsidRPr="005A0D77">
        <w:rPr>
          <w:rFonts w:ascii="Times New Roman" w:hAnsi="Times New Roman" w:cs="Times New Roman"/>
        </w:rPr>
        <w:t xml:space="preserve">, R., </w:t>
      </w:r>
      <w:proofErr w:type="spellStart"/>
      <w:r w:rsidRPr="005A0D77">
        <w:rPr>
          <w:rFonts w:ascii="Times New Roman" w:hAnsi="Times New Roman" w:cs="Times New Roman"/>
        </w:rPr>
        <w:t>et</w:t>
      </w:r>
      <w:proofErr w:type="spellEnd"/>
      <w:r w:rsidRPr="005A0D77">
        <w:rPr>
          <w:rFonts w:ascii="Times New Roman" w:hAnsi="Times New Roman" w:cs="Times New Roman"/>
        </w:rPr>
        <w:t xml:space="preserve"> </w:t>
      </w:r>
      <w:proofErr w:type="spellStart"/>
      <w:r w:rsidRPr="005A0D77">
        <w:rPr>
          <w:rFonts w:ascii="Times New Roman" w:hAnsi="Times New Roman" w:cs="Times New Roman"/>
        </w:rPr>
        <w:t>al</w:t>
      </w:r>
      <w:proofErr w:type="spellEnd"/>
      <w:r w:rsidRPr="005A0D77">
        <w:rPr>
          <w:rFonts w:ascii="Times New Roman" w:hAnsi="Times New Roman" w:cs="Times New Roman"/>
        </w:rPr>
        <w:t>. "</w:t>
      </w:r>
      <w:proofErr w:type="spellStart"/>
      <w:r w:rsidRPr="005A0D77">
        <w:rPr>
          <w:rFonts w:ascii="Times New Roman" w:hAnsi="Times New Roman" w:cs="Times New Roman"/>
        </w:rPr>
        <w:t>Emerging</w:t>
      </w:r>
      <w:proofErr w:type="spellEnd"/>
      <w:r w:rsidRPr="005A0D77">
        <w:rPr>
          <w:rFonts w:ascii="Times New Roman" w:hAnsi="Times New Roman" w:cs="Times New Roman"/>
        </w:rPr>
        <w:t xml:space="preserve"> </w:t>
      </w:r>
      <w:proofErr w:type="spellStart"/>
      <w:r w:rsidRPr="005A0D77">
        <w:rPr>
          <w:rFonts w:ascii="Times New Roman" w:hAnsi="Times New Roman" w:cs="Times New Roman"/>
        </w:rPr>
        <w:t>FcRn</w:t>
      </w:r>
      <w:proofErr w:type="spellEnd"/>
      <w:r w:rsidRPr="005A0D77">
        <w:rPr>
          <w:rFonts w:ascii="Times New Roman" w:hAnsi="Times New Roman" w:cs="Times New Roman"/>
        </w:rPr>
        <w:t xml:space="preserve"> inhibitors </w:t>
      </w:r>
      <w:proofErr w:type="spellStart"/>
      <w:r w:rsidRPr="005A0D77">
        <w:rPr>
          <w:rFonts w:ascii="Times New Roman" w:hAnsi="Times New Roman" w:cs="Times New Roman"/>
        </w:rPr>
        <w:t>for</w:t>
      </w:r>
      <w:proofErr w:type="spellEnd"/>
      <w:r w:rsidRPr="005A0D77">
        <w:rPr>
          <w:rFonts w:ascii="Times New Roman" w:hAnsi="Times New Roman" w:cs="Times New Roman"/>
        </w:rPr>
        <w:t xml:space="preserve"> </w:t>
      </w:r>
      <w:proofErr w:type="spellStart"/>
      <w:r w:rsidRPr="005A0D77">
        <w:rPr>
          <w:rFonts w:ascii="Times New Roman" w:hAnsi="Times New Roman" w:cs="Times New Roman"/>
        </w:rPr>
        <w:t>the</w:t>
      </w:r>
      <w:proofErr w:type="spellEnd"/>
      <w:r w:rsidRPr="005A0D77">
        <w:rPr>
          <w:rFonts w:ascii="Times New Roman" w:hAnsi="Times New Roman" w:cs="Times New Roman"/>
        </w:rPr>
        <w:t xml:space="preserve"> </w:t>
      </w:r>
      <w:proofErr w:type="spellStart"/>
      <w:r w:rsidRPr="005A0D77">
        <w:rPr>
          <w:rFonts w:ascii="Times New Roman" w:hAnsi="Times New Roman" w:cs="Times New Roman"/>
        </w:rPr>
        <w:t>treatment</w:t>
      </w:r>
      <w:proofErr w:type="spellEnd"/>
      <w:r w:rsidRPr="005A0D77">
        <w:rPr>
          <w:rFonts w:ascii="Times New Roman" w:hAnsi="Times New Roman" w:cs="Times New Roman"/>
        </w:rPr>
        <w:t xml:space="preserve"> </w:t>
      </w:r>
      <w:proofErr w:type="spellStart"/>
      <w:r w:rsidRPr="005A0D77">
        <w:rPr>
          <w:rFonts w:ascii="Times New Roman" w:hAnsi="Times New Roman" w:cs="Times New Roman"/>
        </w:rPr>
        <w:t>of</w:t>
      </w:r>
      <w:proofErr w:type="spellEnd"/>
      <w:r w:rsidRPr="005A0D77">
        <w:rPr>
          <w:rFonts w:ascii="Times New Roman" w:hAnsi="Times New Roman" w:cs="Times New Roman"/>
        </w:rPr>
        <w:t xml:space="preserve"> </w:t>
      </w:r>
      <w:proofErr w:type="spellStart"/>
      <w:r w:rsidRPr="005A0D77">
        <w:rPr>
          <w:rFonts w:ascii="Times New Roman" w:hAnsi="Times New Roman" w:cs="Times New Roman"/>
        </w:rPr>
        <w:t>myasthenia</w:t>
      </w:r>
      <w:proofErr w:type="spellEnd"/>
      <w:r w:rsidRPr="005A0D77">
        <w:rPr>
          <w:rFonts w:ascii="Times New Roman" w:hAnsi="Times New Roman" w:cs="Times New Roman"/>
        </w:rPr>
        <w:t xml:space="preserve"> </w:t>
      </w:r>
      <w:proofErr w:type="spellStart"/>
      <w:r w:rsidRPr="005A0D77">
        <w:rPr>
          <w:rFonts w:ascii="Times New Roman" w:hAnsi="Times New Roman" w:cs="Times New Roman"/>
        </w:rPr>
        <w:t>gravis</w:t>
      </w:r>
      <w:proofErr w:type="spellEnd"/>
      <w:r w:rsidRPr="005A0D77">
        <w:rPr>
          <w:rFonts w:ascii="Times New Roman" w:hAnsi="Times New Roman" w:cs="Times New Roman"/>
        </w:rPr>
        <w:t xml:space="preserve">." </w:t>
      </w:r>
      <w:proofErr w:type="spellStart"/>
      <w:r w:rsidRPr="005A0D77">
        <w:rPr>
          <w:rFonts w:ascii="Times New Roman" w:hAnsi="Times New Roman" w:cs="Times New Roman"/>
          <w:i/>
          <w:iCs/>
        </w:rPr>
        <w:t>Therapeutic</w:t>
      </w:r>
      <w:proofErr w:type="spellEnd"/>
      <w:r w:rsidRPr="005A0D77">
        <w:rPr>
          <w:rFonts w:ascii="Times New Roman" w:hAnsi="Times New Roman" w:cs="Times New Roman"/>
          <w:i/>
          <w:iCs/>
        </w:rPr>
        <w:t xml:space="preserve"> </w:t>
      </w:r>
      <w:proofErr w:type="spellStart"/>
      <w:r w:rsidRPr="005A0D77">
        <w:rPr>
          <w:rFonts w:ascii="Times New Roman" w:hAnsi="Times New Roman" w:cs="Times New Roman"/>
          <w:i/>
          <w:iCs/>
        </w:rPr>
        <w:t>Advances</w:t>
      </w:r>
      <w:proofErr w:type="spellEnd"/>
      <w:r w:rsidRPr="005A0D77">
        <w:rPr>
          <w:rFonts w:ascii="Times New Roman" w:hAnsi="Times New Roman" w:cs="Times New Roman"/>
          <w:i/>
          <w:iCs/>
        </w:rPr>
        <w:t xml:space="preserve"> </w:t>
      </w:r>
      <w:proofErr w:type="spellStart"/>
      <w:r w:rsidRPr="005A0D77">
        <w:rPr>
          <w:rFonts w:ascii="Times New Roman" w:hAnsi="Times New Roman" w:cs="Times New Roman"/>
          <w:i/>
          <w:iCs/>
        </w:rPr>
        <w:t>in</w:t>
      </w:r>
      <w:proofErr w:type="spellEnd"/>
      <w:r w:rsidRPr="005A0D77">
        <w:rPr>
          <w:rFonts w:ascii="Times New Roman" w:hAnsi="Times New Roman" w:cs="Times New Roman"/>
          <w:i/>
          <w:iCs/>
        </w:rPr>
        <w:t xml:space="preserve"> </w:t>
      </w:r>
      <w:proofErr w:type="spellStart"/>
      <w:r w:rsidRPr="005A0D77">
        <w:rPr>
          <w:rFonts w:ascii="Times New Roman" w:hAnsi="Times New Roman" w:cs="Times New Roman"/>
          <w:i/>
          <w:iCs/>
        </w:rPr>
        <w:t>Neurological</w:t>
      </w:r>
      <w:proofErr w:type="spellEnd"/>
      <w:r w:rsidRPr="005A0D77">
        <w:rPr>
          <w:rFonts w:ascii="Times New Roman" w:hAnsi="Times New Roman" w:cs="Times New Roman"/>
          <w:i/>
          <w:iCs/>
        </w:rPr>
        <w:t xml:space="preserve"> </w:t>
      </w:r>
      <w:proofErr w:type="spellStart"/>
      <w:r w:rsidRPr="005A0D77">
        <w:rPr>
          <w:rFonts w:ascii="Times New Roman" w:hAnsi="Times New Roman" w:cs="Times New Roman"/>
          <w:i/>
          <w:iCs/>
        </w:rPr>
        <w:t>Disorders</w:t>
      </w:r>
      <w:proofErr w:type="spellEnd"/>
      <w:r w:rsidRPr="005A0D77">
        <w:rPr>
          <w:rFonts w:ascii="Times New Roman" w:hAnsi="Times New Roman" w:cs="Times New Roman"/>
        </w:rPr>
        <w:t>, 2024.</w:t>
      </w:r>
    </w:p>
    <w:p w14:paraId="71DB6E8F" w14:textId="77777777" w:rsidR="00457702" w:rsidRDefault="00457702">
      <w:pPr>
        <w:spacing w:after="0" w:line="276" w:lineRule="auto"/>
        <w:jc w:val="both"/>
        <w:rPr>
          <w:rFonts w:ascii="Times New Roman" w:hAnsi="Times New Roman" w:cs="Times New Roman"/>
          <w:b/>
          <w:bCs/>
        </w:rPr>
      </w:pPr>
    </w:p>
    <w:p w14:paraId="0DBA060E" w14:textId="77777777" w:rsidR="00457702" w:rsidRDefault="00457702">
      <w:pPr>
        <w:spacing w:after="0" w:line="276" w:lineRule="auto"/>
        <w:jc w:val="both"/>
        <w:rPr>
          <w:rFonts w:ascii="Times New Roman" w:hAnsi="Times New Roman" w:cs="Times New Roman"/>
          <w:b/>
          <w:bCs/>
        </w:rPr>
      </w:pPr>
    </w:p>
    <w:p w14:paraId="59BC877A" w14:textId="77777777" w:rsidR="00457702" w:rsidRDefault="00457702">
      <w:pPr>
        <w:spacing w:after="0" w:line="276" w:lineRule="auto"/>
        <w:jc w:val="both"/>
        <w:rPr>
          <w:rFonts w:ascii="Times New Roman" w:hAnsi="Times New Roman" w:cs="Times New Roman"/>
          <w:b/>
          <w:bCs/>
        </w:rPr>
      </w:pPr>
    </w:p>
    <w:p w14:paraId="5E1FB98F" w14:textId="77777777" w:rsidR="00457702" w:rsidRDefault="00457702">
      <w:pPr>
        <w:spacing w:after="0" w:line="276" w:lineRule="auto"/>
        <w:jc w:val="both"/>
        <w:rPr>
          <w:rFonts w:ascii="Times New Roman" w:hAnsi="Times New Roman" w:cs="Times New Roman"/>
          <w:b/>
          <w:bCs/>
        </w:rPr>
      </w:pPr>
    </w:p>
    <w:p w14:paraId="029EF442" w14:textId="77777777" w:rsidR="00457702" w:rsidRDefault="00457702">
      <w:pPr>
        <w:spacing w:after="0" w:line="276" w:lineRule="auto"/>
        <w:jc w:val="both"/>
        <w:rPr>
          <w:rFonts w:ascii="Times New Roman" w:hAnsi="Times New Roman" w:cs="Times New Roman"/>
        </w:rPr>
      </w:pPr>
    </w:p>
    <w:p w14:paraId="766B35FE" w14:textId="77777777" w:rsidR="00457702" w:rsidRDefault="00457702">
      <w:pPr>
        <w:spacing w:after="0" w:line="360" w:lineRule="auto"/>
        <w:jc w:val="both"/>
        <w:rPr>
          <w:rFonts w:ascii="Times New Roman" w:hAnsi="Times New Roman" w:cs="Times New Roman"/>
        </w:rPr>
      </w:pPr>
    </w:p>
    <w:sectPr w:rsidR="0045770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E8BF3" w14:textId="77777777" w:rsidR="008D1811" w:rsidRDefault="008D1811">
      <w:pPr>
        <w:spacing w:line="240" w:lineRule="auto"/>
      </w:pPr>
      <w:r>
        <w:separator/>
      </w:r>
    </w:p>
  </w:endnote>
  <w:endnote w:type="continuationSeparator" w:id="0">
    <w:p w14:paraId="51C07327" w14:textId="77777777" w:rsidR="008D1811" w:rsidRDefault="008D18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altName w:val="Times New Roman PS"/>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88DA5" w14:textId="77777777" w:rsidR="008D1811" w:rsidRDefault="008D1811">
      <w:pPr>
        <w:spacing w:after="0"/>
      </w:pPr>
      <w:r>
        <w:separator/>
      </w:r>
    </w:p>
  </w:footnote>
  <w:footnote w:type="continuationSeparator" w:id="0">
    <w:p w14:paraId="68DA9355" w14:textId="77777777" w:rsidR="008D1811" w:rsidRDefault="008D181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AE71545"/>
    <w:multiLevelType w:val="singleLevel"/>
    <w:tmpl w:val="AAE71545"/>
    <w:lvl w:ilvl="0">
      <w:start w:val="5"/>
      <w:numFmt w:val="decimal"/>
      <w:lvlText w:val="%1."/>
      <w:lvlJc w:val="left"/>
      <w:pPr>
        <w:tabs>
          <w:tab w:val="left" w:pos="312"/>
        </w:tabs>
      </w:pPr>
    </w:lvl>
  </w:abstractNum>
  <w:abstractNum w:abstractNumId="1" w15:restartNumberingAfterBreak="0">
    <w:nsid w:val="C04C9545"/>
    <w:multiLevelType w:val="singleLevel"/>
    <w:tmpl w:val="C04C9545"/>
    <w:lvl w:ilvl="0">
      <w:start w:val="2"/>
      <w:numFmt w:val="decimal"/>
      <w:lvlText w:val="%1."/>
      <w:lvlJc w:val="left"/>
      <w:pPr>
        <w:tabs>
          <w:tab w:val="left" w:pos="312"/>
        </w:tabs>
      </w:pPr>
    </w:lvl>
  </w:abstractNum>
  <w:abstractNum w:abstractNumId="2" w15:restartNumberingAfterBreak="0">
    <w:nsid w:val="E5DB5986"/>
    <w:multiLevelType w:val="singleLevel"/>
    <w:tmpl w:val="E5DB5986"/>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02521414"/>
    <w:multiLevelType w:val="singleLevel"/>
    <w:tmpl w:val="02521414"/>
    <w:lvl w:ilvl="0">
      <w:start w:val="1"/>
      <w:numFmt w:val="decimal"/>
      <w:suff w:val="space"/>
      <w:lvlText w:val="%1)"/>
      <w:lvlJc w:val="left"/>
    </w:lvl>
  </w:abstractNum>
  <w:abstractNum w:abstractNumId="4" w15:restartNumberingAfterBreak="0">
    <w:nsid w:val="2E342F66"/>
    <w:multiLevelType w:val="hybridMultilevel"/>
    <w:tmpl w:val="950A28B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01D1579"/>
    <w:multiLevelType w:val="hybridMultilevel"/>
    <w:tmpl w:val="5E960F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25052CC"/>
    <w:multiLevelType w:val="hybridMultilevel"/>
    <w:tmpl w:val="D3364916"/>
    <w:lvl w:ilvl="0" w:tplc="5CD239EA">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41105CB"/>
    <w:multiLevelType w:val="multilevel"/>
    <w:tmpl w:val="441105C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577A1A18"/>
    <w:multiLevelType w:val="multilevel"/>
    <w:tmpl w:val="577A1A1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59AF5589"/>
    <w:multiLevelType w:val="multilevel"/>
    <w:tmpl w:val="59AF55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CC4140D"/>
    <w:multiLevelType w:val="multilevel"/>
    <w:tmpl w:val="5CC414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5F3F36F8"/>
    <w:multiLevelType w:val="multilevel"/>
    <w:tmpl w:val="5F3F36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57B65DC"/>
    <w:multiLevelType w:val="multilevel"/>
    <w:tmpl w:val="657B65D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7C535764"/>
    <w:multiLevelType w:val="hybridMultilevel"/>
    <w:tmpl w:val="93000A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E5D075C"/>
    <w:multiLevelType w:val="multilevel"/>
    <w:tmpl w:val="7E5D07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2025935122">
    <w:abstractNumId w:val="11"/>
  </w:num>
  <w:num w:numId="2" w16cid:durableId="1155024325">
    <w:abstractNumId w:val="14"/>
  </w:num>
  <w:num w:numId="3" w16cid:durableId="56099259">
    <w:abstractNumId w:val="8"/>
  </w:num>
  <w:num w:numId="4" w16cid:durableId="1368261896">
    <w:abstractNumId w:val="10"/>
  </w:num>
  <w:num w:numId="5" w16cid:durableId="466431173">
    <w:abstractNumId w:val="7"/>
  </w:num>
  <w:num w:numId="6" w16cid:durableId="838085680">
    <w:abstractNumId w:val="12"/>
  </w:num>
  <w:num w:numId="7" w16cid:durableId="936062454">
    <w:abstractNumId w:val="0"/>
  </w:num>
  <w:num w:numId="8" w16cid:durableId="150872956">
    <w:abstractNumId w:val="9"/>
  </w:num>
  <w:num w:numId="9" w16cid:durableId="364912466">
    <w:abstractNumId w:val="1"/>
  </w:num>
  <w:num w:numId="10" w16cid:durableId="141434906">
    <w:abstractNumId w:val="2"/>
  </w:num>
  <w:num w:numId="11" w16cid:durableId="548340428">
    <w:abstractNumId w:val="3"/>
  </w:num>
  <w:num w:numId="12" w16cid:durableId="1277715933">
    <w:abstractNumId w:val="4"/>
  </w:num>
  <w:num w:numId="13" w16cid:durableId="1792433526">
    <w:abstractNumId w:val="5"/>
  </w:num>
  <w:num w:numId="14" w16cid:durableId="1723942881">
    <w:abstractNumId w:val="13"/>
  </w:num>
  <w:num w:numId="15" w16cid:durableId="3640607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686"/>
    <w:rsid w:val="00005751"/>
    <w:rsid w:val="000058B4"/>
    <w:rsid w:val="000148DF"/>
    <w:rsid w:val="000211A8"/>
    <w:rsid w:val="00030A62"/>
    <w:rsid w:val="00031C3F"/>
    <w:rsid w:val="000336DE"/>
    <w:rsid w:val="000474E1"/>
    <w:rsid w:val="0005589A"/>
    <w:rsid w:val="0006531E"/>
    <w:rsid w:val="000839E9"/>
    <w:rsid w:val="00087FB3"/>
    <w:rsid w:val="00097C6D"/>
    <w:rsid w:val="000B5BF0"/>
    <w:rsid w:val="000B7977"/>
    <w:rsid w:val="000D20F5"/>
    <w:rsid w:val="000D7018"/>
    <w:rsid w:val="000D771E"/>
    <w:rsid w:val="000D7A71"/>
    <w:rsid w:val="000E09F3"/>
    <w:rsid w:val="000E6B50"/>
    <w:rsid w:val="00103606"/>
    <w:rsid w:val="00114944"/>
    <w:rsid w:val="00117E6B"/>
    <w:rsid w:val="00125415"/>
    <w:rsid w:val="00140806"/>
    <w:rsid w:val="001428F4"/>
    <w:rsid w:val="001551DB"/>
    <w:rsid w:val="00156DB4"/>
    <w:rsid w:val="00162074"/>
    <w:rsid w:val="00173313"/>
    <w:rsid w:val="00192C50"/>
    <w:rsid w:val="00196737"/>
    <w:rsid w:val="001B7550"/>
    <w:rsid w:val="001C606E"/>
    <w:rsid w:val="001C7AFF"/>
    <w:rsid w:val="001E04F2"/>
    <w:rsid w:val="001E5354"/>
    <w:rsid w:val="001F6F22"/>
    <w:rsid w:val="00200EE2"/>
    <w:rsid w:val="00201434"/>
    <w:rsid w:val="002160D9"/>
    <w:rsid w:val="002468FF"/>
    <w:rsid w:val="00252770"/>
    <w:rsid w:val="00252FBB"/>
    <w:rsid w:val="00261BF3"/>
    <w:rsid w:val="00266AF5"/>
    <w:rsid w:val="00271878"/>
    <w:rsid w:val="00287AA7"/>
    <w:rsid w:val="002956D1"/>
    <w:rsid w:val="002A030C"/>
    <w:rsid w:val="002C0128"/>
    <w:rsid w:val="002C2D6D"/>
    <w:rsid w:val="002C5006"/>
    <w:rsid w:val="002C73D5"/>
    <w:rsid w:val="002C7D91"/>
    <w:rsid w:val="002D0205"/>
    <w:rsid w:val="002E4F68"/>
    <w:rsid w:val="002E530D"/>
    <w:rsid w:val="002F2378"/>
    <w:rsid w:val="003054F1"/>
    <w:rsid w:val="00315198"/>
    <w:rsid w:val="003271F1"/>
    <w:rsid w:val="00335913"/>
    <w:rsid w:val="00345823"/>
    <w:rsid w:val="00363748"/>
    <w:rsid w:val="00367F6D"/>
    <w:rsid w:val="0037385C"/>
    <w:rsid w:val="00377DBB"/>
    <w:rsid w:val="00381A7D"/>
    <w:rsid w:val="00393740"/>
    <w:rsid w:val="0039434A"/>
    <w:rsid w:val="003B302C"/>
    <w:rsid w:val="003C0BB3"/>
    <w:rsid w:val="003C1F97"/>
    <w:rsid w:val="003C3706"/>
    <w:rsid w:val="003D1D75"/>
    <w:rsid w:val="003F71B4"/>
    <w:rsid w:val="004006B8"/>
    <w:rsid w:val="00400905"/>
    <w:rsid w:val="00416CFA"/>
    <w:rsid w:val="00431A91"/>
    <w:rsid w:val="00453E69"/>
    <w:rsid w:val="0045725D"/>
    <w:rsid w:val="00457702"/>
    <w:rsid w:val="00487234"/>
    <w:rsid w:val="0048726F"/>
    <w:rsid w:val="004921DB"/>
    <w:rsid w:val="004942D4"/>
    <w:rsid w:val="00497C06"/>
    <w:rsid w:val="004A0DAF"/>
    <w:rsid w:val="004A4522"/>
    <w:rsid w:val="004A4B41"/>
    <w:rsid w:val="004B5120"/>
    <w:rsid w:val="004C2713"/>
    <w:rsid w:val="004C544E"/>
    <w:rsid w:val="004D732E"/>
    <w:rsid w:val="004D7361"/>
    <w:rsid w:val="004E3467"/>
    <w:rsid w:val="004E349A"/>
    <w:rsid w:val="004E5C02"/>
    <w:rsid w:val="004F727C"/>
    <w:rsid w:val="004F7F1C"/>
    <w:rsid w:val="00500686"/>
    <w:rsid w:val="00503908"/>
    <w:rsid w:val="00514272"/>
    <w:rsid w:val="00521B57"/>
    <w:rsid w:val="00527917"/>
    <w:rsid w:val="005300D5"/>
    <w:rsid w:val="005336E6"/>
    <w:rsid w:val="00533B2E"/>
    <w:rsid w:val="00557865"/>
    <w:rsid w:val="00586CD5"/>
    <w:rsid w:val="005871C7"/>
    <w:rsid w:val="005874CF"/>
    <w:rsid w:val="005A0D77"/>
    <w:rsid w:val="005A73FA"/>
    <w:rsid w:val="005B0331"/>
    <w:rsid w:val="005B1E99"/>
    <w:rsid w:val="005C37F0"/>
    <w:rsid w:val="005D3BDC"/>
    <w:rsid w:val="005F2B85"/>
    <w:rsid w:val="005F52CF"/>
    <w:rsid w:val="006056CA"/>
    <w:rsid w:val="006057FE"/>
    <w:rsid w:val="006250E1"/>
    <w:rsid w:val="006272F2"/>
    <w:rsid w:val="00630E51"/>
    <w:rsid w:val="006460A1"/>
    <w:rsid w:val="006475DF"/>
    <w:rsid w:val="00662127"/>
    <w:rsid w:val="00663B0E"/>
    <w:rsid w:val="00674F11"/>
    <w:rsid w:val="00690C81"/>
    <w:rsid w:val="006A1E5A"/>
    <w:rsid w:val="006B0686"/>
    <w:rsid w:val="006B583A"/>
    <w:rsid w:val="006B7C7D"/>
    <w:rsid w:val="006B7DBF"/>
    <w:rsid w:val="006C575F"/>
    <w:rsid w:val="006D163A"/>
    <w:rsid w:val="00705348"/>
    <w:rsid w:val="00710225"/>
    <w:rsid w:val="007110DB"/>
    <w:rsid w:val="0072430A"/>
    <w:rsid w:val="0074215D"/>
    <w:rsid w:val="007518A6"/>
    <w:rsid w:val="00776A25"/>
    <w:rsid w:val="0078217A"/>
    <w:rsid w:val="00790961"/>
    <w:rsid w:val="007A5E00"/>
    <w:rsid w:val="007A7639"/>
    <w:rsid w:val="007A7FF5"/>
    <w:rsid w:val="007B7B3B"/>
    <w:rsid w:val="007C6BAB"/>
    <w:rsid w:val="007C6C1D"/>
    <w:rsid w:val="007D2CA6"/>
    <w:rsid w:val="007E4325"/>
    <w:rsid w:val="007F5859"/>
    <w:rsid w:val="007F6575"/>
    <w:rsid w:val="00827801"/>
    <w:rsid w:val="0083672E"/>
    <w:rsid w:val="00836E24"/>
    <w:rsid w:val="008457A8"/>
    <w:rsid w:val="00856E02"/>
    <w:rsid w:val="00865270"/>
    <w:rsid w:val="0087452C"/>
    <w:rsid w:val="00891A94"/>
    <w:rsid w:val="008928BF"/>
    <w:rsid w:val="008A705C"/>
    <w:rsid w:val="008D0475"/>
    <w:rsid w:val="008D1811"/>
    <w:rsid w:val="008D5A08"/>
    <w:rsid w:val="008E35F6"/>
    <w:rsid w:val="008E4D89"/>
    <w:rsid w:val="008E53C2"/>
    <w:rsid w:val="008E6A9D"/>
    <w:rsid w:val="008E6E6F"/>
    <w:rsid w:val="008E7CC2"/>
    <w:rsid w:val="008F3B04"/>
    <w:rsid w:val="00913C0F"/>
    <w:rsid w:val="00934653"/>
    <w:rsid w:val="00946365"/>
    <w:rsid w:val="0095780C"/>
    <w:rsid w:val="0096343B"/>
    <w:rsid w:val="00971B2A"/>
    <w:rsid w:val="009733E3"/>
    <w:rsid w:val="00975B18"/>
    <w:rsid w:val="00990391"/>
    <w:rsid w:val="009913CC"/>
    <w:rsid w:val="00995E5D"/>
    <w:rsid w:val="009A30A1"/>
    <w:rsid w:val="009B7FCA"/>
    <w:rsid w:val="009E3E5D"/>
    <w:rsid w:val="009F1099"/>
    <w:rsid w:val="00A01970"/>
    <w:rsid w:val="00A079C5"/>
    <w:rsid w:val="00A23A63"/>
    <w:rsid w:val="00A25BC0"/>
    <w:rsid w:val="00A30659"/>
    <w:rsid w:val="00A3157A"/>
    <w:rsid w:val="00A513B2"/>
    <w:rsid w:val="00A6058E"/>
    <w:rsid w:val="00A76425"/>
    <w:rsid w:val="00AA30C5"/>
    <w:rsid w:val="00AB1602"/>
    <w:rsid w:val="00AB7C7F"/>
    <w:rsid w:val="00AD5056"/>
    <w:rsid w:val="00AF1997"/>
    <w:rsid w:val="00AF20CA"/>
    <w:rsid w:val="00B00F21"/>
    <w:rsid w:val="00B132E0"/>
    <w:rsid w:val="00B31B37"/>
    <w:rsid w:val="00B36BEC"/>
    <w:rsid w:val="00B415FB"/>
    <w:rsid w:val="00B65B9C"/>
    <w:rsid w:val="00B71686"/>
    <w:rsid w:val="00B83C4A"/>
    <w:rsid w:val="00B83EF8"/>
    <w:rsid w:val="00B854B9"/>
    <w:rsid w:val="00BB2F54"/>
    <w:rsid w:val="00BB7F87"/>
    <w:rsid w:val="00BC67C5"/>
    <w:rsid w:val="00BD28E7"/>
    <w:rsid w:val="00BD3F24"/>
    <w:rsid w:val="00BE2BD2"/>
    <w:rsid w:val="00C10272"/>
    <w:rsid w:val="00C12BE4"/>
    <w:rsid w:val="00C14342"/>
    <w:rsid w:val="00C252C7"/>
    <w:rsid w:val="00C50FB9"/>
    <w:rsid w:val="00C56659"/>
    <w:rsid w:val="00C63CB0"/>
    <w:rsid w:val="00C817E4"/>
    <w:rsid w:val="00C82850"/>
    <w:rsid w:val="00C84F05"/>
    <w:rsid w:val="00C91131"/>
    <w:rsid w:val="00C9346F"/>
    <w:rsid w:val="00CB2DDE"/>
    <w:rsid w:val="00CC0DEB"/>
    <w:rsid w:val="00CC159A"/>
    <w:rsid w:val="00CD7613"/>
    <w:rsid w:val="00CE7D04"/>
    <w:rsid w:val="00D058A5"/>
    <w:rsid w:val="00D1506C"/>
    <w:rsid w:val="00D16F2A"/>
    <w:rsid w:val="00D24293"/>
    <w:rsid w:val="00D2466D"/>
    <w:rsid w:val="00D25137"/>
    <w:rsid w:val="00D265F4"/>
    <w:rsid w:val="00D31FFA"/>
    <w:rsid w:val="00D35E71"/>
    <w:rsid w:val="00D47953"/>
    <w:rsid w:val="00D53F5C"/>
    <w:rsid w:val="00D65860"/>
    <w:rsid w:val="00D658A3"/>
    <w:rsid w:val="00D736B2"/>
    <w:rsid w:val="00D9079A"/>
    <w:rsid w:val="00DB2EF0"/>
    <w:rsid w:val="00DB44F3"/>
    <w:rsid w:val="00DB56F4"/>
    <w:rsid w:val="00DC7DD8"/>
    <w:rsid w:val="00DD2688"/>
    <w:rsid w:val="00DD295C"/>
    <w:rsid w:val="00DD61D6"/>
    <w:rsid w:val="00DD6C7E"/>
    <w:rsid w:val="00DD6D29"/>
    <w:rsid w:val="00DE777A"/>
    <w:rsid w:val="00E131ED"/>
    <w:rsid w:val="00E14CE8"/>
    <w:rsid w:val="00E2570E"/>
    <w:rsid w:val="00E37FD3"/>
    <w:rsid w:val="00E43EAB"/>
    <w:rsid w:val="00E67982"/>
    <w:rsid w:val="00E81D57"/>
    <w:rsid w:val="00E81E84"/>
    <w:rsid w:val="00E82640"/>
    <w:rsid w:val="00EA1A2A"/>
    <w:rsid w:val="00EB126A"/>
    <w:rsid w:val="00ED78C1"/>
    <w:rsid w:val="00ED7C76"/>
    <w:rsid w:val="00EE31D8"/>
    <w:rsid w:val="00EE79EB"/>
    <w:rsid w:val="00EF75F6"/>
    <w:rsid w:val="00F031D7"/>
    <w:rsid w:val="00F20183"/>
    <w:rsid w:val="00F2568F"/>
    <w:rsid w:val="00F30F89"/>
    <w:rsid w:val="00F40471"/>
    <w:rsid w:val="00F4695D"/>
    <w:rsid w:val="00F50032"/>
    <w:rsid w:val="00F6154B"/>
    <w:rsid w:val="00F63228"/>
    <w:rsid w:val="00F75BD7"/>
    <w:rsid w:val="00F761A7"/>
    <w:rsid w:val="00F84DCF"/>
    <w:rsid w:val="00F8671C"/>
    <w:rsid w:val="00F96A83"/>
    <w:rsid w:val="00FA0226"/>
    <w:rsid w:val="00FA187B"/>
    <w:rsid w:val="00FA3CAD"/>
    <w:rsid w:val="00FB7EEB"/>
    <w:rsid w:val="00FC0641"/>
    <w:rsid w:val="00FC5664"/>
    <w:rsid w:val="00FC5DEB"/>
    <w:rsid w:val="00FD0CFB"/>
    <w:rsid w:val="00FE37BD"/>
    <w:rsid w:val="00FF2235"/>
    <w:rsid w:val="00FF5894"/>
    <w:rsid w:val="245439C7"/>
    <w:rsid w:val="736F1E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53C54F"/>
  <w15:docId w15:val="{C2372739-456F-4B94-B496-4C6FC96B8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lv-LV"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lang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style>
  <w:style w:type="character" w:styleId="Hyperlink">
    <w:name w:val="Hyperlink"/>
    <w:basedOn w:val="DefaultParagraphFont"/>
    <w:uiPriority w:val="99"/>
    <w:unhideWhenUsed/>
    <w:qFormat/>
    <w:rPr>
      <w:color w:val="467886" w:themeColor="hyperlink"/>
      <w:u w:val="single"/>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3C0BB3"/>
    <w:pPr>
      <w:spacing w:line="240" w:lineRule="auto"/>
    </w:pPr>
    <w:rPr>
      <w:b/>
      <w:bCs/>
      <w:sz w:val="20"/>
      <w:szCs w:val="20"/>
    </w:rPr>
  </w:style>
  <w:style w:type="character" w:customStyle="1" w:styleId="CommentTextChar">
    <w:name w:val="Comment Text Char"/>
    <w:basedOn w:val="DefaultParagraphFont"/>
    <w:link w:val="CommentText"/>
    <w:uiPriority w:val="99"/>
    <w:semiHidden/>
    <w:rsid w:val="003C0BB3"/>
    <w:rPr>
      <w:kern w:val="2"/>
      <w:sz w:val="24"/>
      <w:szCs w:val="24"/>
      <w:lang w:eastAsia="en-US"/>
      <w14:ligatures w14:val="standardContextual"/>
    </w:rPr>
  </w:style>
  <w:style w:type="character" w:customStyle="1" w:styleId="CommentSubjectChar">
    <w:name w:val="Comment Subject Char"/>
    <w:basedOn w:val="CommentTextChar"/>
    <w:link w:val="CommentSubject"/>
    <w:uiPriority w:val="99"/>
    <w:semiHidden/>
    <w:rsid w:val="003C0BB3"/>
    <w:rPr>
      <w:b/>
      <w:bCs/>
      <w:kern w:val="2"/>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639</Words>
  <Characters>4927</Characters>
  <Application>Microsoft Office Word</Application>
  <DocSecurity>0</DocSecurity>
  <Lines>92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Ķēniņa</dc:creator>
  <cp:keywords/>
  <dc:description/>
  <cp:lastModifiedBy>Sabīne Ilmane</cp:lastModifiedBy>
  <cp:revision>2</cp:revision>
  <cp:lastPrinted>2025-06-25T10:10:00Z</cp:lastPrinted>
  <dcterms:created xsi:type="dcterms:W3CDTF">2025-10-03T11:00:00Z</dcterms:created>
  <dcterms:modified xsi:type="dcterms:W3CDTF">2025-10-03T11:00:00Z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E8CE6ECB641043A698A769010C0D8EEE_13</vt:lpwstr>
  </property>
  <property fmtid="{D5CDD505-2E9C-101B-9397-08002B2CF9AE}" pid="4" name="GrammarlyDocumentId">
    <vt:lpwstr>b2a8c4cb-d58d-40fc-93bd-65378133cf12</vt:lpwstr>
  </property>
</Properties>
</file>