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06C67875" wp14:editId="0707DBA0">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538148AA" wp14:editId="21CD7CCC">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3DE0955"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4"/>
        <w:gridCol w:w="3647"/>
      </w:tblGrid>
      <w:tr w:rsidR="003F0A35" w:rsidTr="00C5711F">
        <w:trPr>
          <w:trHeight w:val="313"/>
        </w:trPr>
        <w:tc>
          <w:tcPr>
            <w:tcW w:w="5495" w:type="dxa"/>
          </w:tcPr>
          <w:p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1-8.2/2025/2294</w:t>
            </w:r>
          </w:p>
          <w:p w:rsidR="002079F2" w:rsidRPr="00CB2202" w:rsidRDefault="002079F2" w:rsidP="00222B8B">
            <w:pPr>
              <w:tabs>
                <w:tab w:val="left" w:pos="0"/>
                <w:tab w:val="left" w:pos="7371"/>
              </w:tabs>
              <w:rPr>
                <w:sz w:val="24"/>
                <w:szCs w:val="24"/>
              </w:rPr>
            </w:pPr>
          </w:p>
        </w:tc>
        <w:tc>
          <w:tcPr>
            <w:tcW w:w="3685" w:type="dxa"/>
          </w:tcPr>
          <w:p w:rsidR="00627DEF" w:rsidRPr="00627DEF" w:rsidRDefault="00000000" w:rsidP="00627DEF">
            <w:pPr>
              <w:tabs>
                <w:tab w:val="left" w:pos="0"/>
                <w:tab w:val="left" w:pos="7371"/>
              </w:tabs>
              <w:rPr>
                <w:noProof/>
                <w:sz w:val="24"/>
                <w:szCs w:val="24"/>
              </w:rPr>
            </w:pPr>
            <w:r w:rsidRPr="00627DEF">
              <w:rPr>
                <w:noProof/>
                <w:sz w:val="24"/>
                <w:szCs w:val="24"/>
              </w:rPr>
              <w:t xml:space="preserve">Ārstu profesionālām asociācijām </w:t>
            </w:r>
          </w:p>
          <w:p w:rsidR="00627DEF" w:rsidRPr="00627DEF" w:rsidRDefault="00000000" w:rsidP="00627DEF">
            <w:pPr>
              <w:tabs>
                <w:tab w:val="left" w:pos="0"/>
                <w:tab w:val="left" w:pos="7371"/>
              </w:tabs>
              <w:rPr>
                <w:noProof/>
                <w:sz w:val="24"/>
                <w:szCs w:val="24"/>
              </w:rPr>
            </w:pPr>
            <w:r w:rsidRPr="00627DEF">
              <w:rPr>
                <w:noProof/>
                <w:sz w:val="24"/>
                <w:szCs w:val="24"/>
              </w:rPr>
              <w:t>Stacionārām ārstniecības iestādēm</w:t>
            </w:r>
          </w:p>
          <w:p w:rsidR="00627DEF" w:rsidRDefault="00000000" w:rsidP="00627DEF">
            <w:pPr>
              <w:tabs>
                <w:tab w:val="left" w:pos="0"/>
                <w:tab w:val="left" w:pos="7371"/>
              </w:tabs>
              <w:rPr>
                <w:noProof/>
                <w:sz w:val="24"/>
                <w:szCs w:val="24"/>
              </w:rPr>
            </w:pPr>
            <w:r w:rsidRPr="00627DEF">
              <w:rPr>
                <w:noProof/>
                <w:sz w:val="24"/>
                <w:szCs w:val="24"/>
              </w:rPr>
              <w:t>(pēc pievienotā saraksta)</w:t>
            </w:r>
          </w:p>
          <w:p w:rsidR="00627DEF" w:rsidRDefault="00000000" w:rsidP="00627DEF">
            <w:pPr>
              <w:tabs>
                <w:tab w:val="left" w:pos="0"/>
                <w:tab w:val="left" w:pos="7371"/>
              </w:tabs>
              <w:rPr>
                <w:noProof/>
                <w:sz w:val="24"/>
                <w:szCs w:val="24"/>
              </w:rPr>
            </w:pPr>
            <w:r>
              <w:rPr>
                <w:noProof/>
                <w:sz w:val="24"/>
                <w:szCs w:val="24"/>
              </w:rPr>
              <w:t>Neatliekamās medicīniskās palīdzības dienests</w:t>
            </w:r>
          </w:p>
          <w:p w:rsidR="00627DEF" w:rsidRDefault="00000000" w:rsidP="00627DEF">
            <w:pPr>
              <w:tabs>
                <w:tab w:val="left" w:pos="0"/>
                <w:tab w:val="left" w:pos="7371"/>
              </w:tabs>
              <w:rPr>
                <w:noProof/>
                <w:sz w:val="24"/>
                <w:szCs w:val="24"/>
              </w:rPr>
            </w:pPr>
            <w:r>
              <w:rPr>
                <w:noProof/>
                <w:sz w:val="24"/>
                <w:szCs w:val="24"/>
              </w:rPr>
              <w:t>Labklājības ministrija</w:t>
            </w:r>
          </w:p>
          <w:p w:rsidR="00627DEF" w:rsidRDefault="00627DEF" w:rsidP="00627DEF">
            <w:pPr>
              <w:tabs>
                <w:tab w:val="left" w:pos="0"/>
                <w:tab w:val="left" w:pos="7371"/>
              </w:tabs>
              <w:rPr>
                <w:noProof/>
                <w:sz w:val="24"/>
                <w:szCs w:val="24"/>
              </w:rPr>
            </w:pPr>
          </w:p>
          <w:p w:rsidR="00627DEF" w:rsidRDefault="00000000" w:rsidP="00627DEF">
            <w:pPr>
              <w:tabs>
                <w:tab w:val="left" w:pos="0"/>
                <w:tab w:val="left" w:pos="7371"/>
              </w:tabs>
              <w:rPr>
                <w:noProof/>
                <w:sz w:val="24"/>
                <w:szCs w:val="24"/>
              </w:rPr>
            </w:pPr>
            <w:r>
              <w:rPr>
                <w:noProof/>
                <w:sz w:val="24"/>
                <w:szCs w:val="24"/>
              </w:rPr>
              <w:t>Zināšanai: Latvijas Republikas Veselības ministrija</w:t>
            </w:r>
          </w:p>
          <w:p w:rsidR="00627DEF" w:rsidRDefault="00000000" w:rsidP="00627DEF">
            <w:pPr>
              <w:tabs>
                <w:tab w:val="left" w:pos="0"/>
                <w:tab w:val="left" w:pos="7371"/>
              </w:tabs>
              <w:rPr>
                <w:noProof/>
                <w:sz w:val="24"/>
                <w:szCs w:val="24"/>
              </w:rPr>
            </w:pPr>
            <w:r>
              <w:rPr>
                <w:noProof/>
                <w:sz w:val="24"/>
                <w:szCs w:val="24"/>
              </w:rPr>
              <w:t>Veselības inspekcija</w:t>
            </w:r>
          </w:p>
          <w:p w:rsidR="002079F2" w:rsidRDefault="00000000" w:rsidP="00627DEF">
            <w:pPr>
              <w:tabs>
                <w:tab w:val="left" w:pos="0"/>
                <w:tab w:val="left" w:pos="7371"/>
              </w:tabs>
              <w:rPr>
                <w:sz w:val="24"/>
                <w:szCs w:val="24"/>
              </w:rPr>
            </w:pPr>
            <w:r>
              <w:rPr>
                <w:noProof/>
                <w:sz w:val="24"/>
                <w:szCs w:val="24"/>
              </w:rPr>
              <w:t>Nacionālais veselības dienests</w:t>
            </w:r>
          </w:p>
        </w:tc>
      </w:tr>
    </w:tbl>
    <w:p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aktuālo gripas epidemioloģisko situāciju un profilakses pasākumiem</w:t>
      </w:r>
    </w:p>
    <w:p w:rsidR="00627DEF" w:rsidRPr="00627DEF" w:rsidRDefault="00000000" w:rsidP="00627DEF">
      <w:pPr>
        <w:tabs>
          <w:tab w:val="left" w:pos="1134"/>
        </w:tabs>
        <w:ind w:firstLine="720"/>
        <w:jc w:val="both"/>
        <w:rPr>
          <w:noProof/>
          <w:sz w:val="24"/>
          <w:szCs w:val="24"/>
          <w:lang w:eastAsia="lv-LV"/>
        </w:rPr>
      </w:pPr>
      <w:r w:rsidRPr="00627DEF">
        <w:rPr>
          <w:noProof/>
          <w:sz w:val="24"/>
          <w:szCs w:val="24"/>
          <w:lang w:eastAsia="lv-LV"/>
        </w:rPr>
        <w:t xml:space="preserve">Slimību profilakses un kontroles centrs (turpmāk – Centrs) informē, ka saskaņā ar neparasti agru gripas sezonas sākumu Eiropas Savienības un Eiropas Ekonomiskās zonas (turpmāk – ES/EEZ) valstīs, gripas izplatībā dominējot </w:t>
      </w:r>
      <w:r w:rsidRPr="00627DEF">
        <w:rPr>
          <w:i/>
          <w:iCs/>
          <w:noProof/>
          <w:sz w:val="24"/>
          <w:szCs w:val="24"/>
          <w:lang w:eastAsia="lv-LV"/>
        </w:rPr>
        <w:t xml:space="preserve">A </w:t>
      </w:r>
      <w:r w:rsidRPr="00627DEF">
        <w:rPr>
          <w:noProof/>
          <w:sz w:val="24"/>
          <w:szCs w:val="24"/>
          <w:lang w:eastAsia="lv-LV"/>
        </w:rPr>
        <w:t xml:space="preserve">tipa gripas vīrusiem, sevišķi  </w:t>
      </w:r>
      <w:r w:rsidRPr="00627DEF">
        <w:rPr>
          <w:i/>
          <w:iCs/>
          <w:noProof/>
          <w:sz w:val="24"/>
          <w:szCs w:val="24"/>
          <w:lang w:eastAsia="lv-LV"/>
        </w:rPr>
        <w:t>A(H3N2)</w:t>
      </w:r>
      <w:r w:rsidRPr="00627DEF">
        <w:rPr>
          <w:noProof/>
          <w:sz w:val="24"/>
          <w:szCs w:val="24"/>
          <w:lang w:eastAsia="lv-LV"/>
        </w:rPr>
        <w:t xml:space="preserve"> apakštipam, Eiropas Slimību profilakses un kontroles centrs (turpmāk – ECDC) ir publicējis epidemioloģiskās situācijas riska novērtējumu un rekomendācijas.</w:t>
      </w:r>
      <w:r>
        <w:rPr>
          <w:noProof/>
          <w:sz w:val="24"/>
          <w:szCs w:val="24"/>
          <w:vertAlign w:val="superscript"/>
          <w:lang w:eastAsia="lv-LV"/>
        </w:rPr>
        <w:footnoteReference w:id="1"/>
      </w:r>
      <w:r w:rsidRPr="00627DEF">
        <w:rPr>
          <w:noProof/>
          <w:sz w:val="24"/>
          <w:szCs w:val="24"/>
          <w:lang w:eastAsia="lv-LV"/>
        </w:rPr>
        <w:t xml:space="preserve"> Pēc Centra monitoringa datiem gripas un citu akūtu elpceļu infekciju aktivitātes pieaugums Latvijā novērojams no novembra sākuma (skatīt grafiku pielikumā).</w:t>
      </w:r>
    </w:p>
    <w:p w:rsidR="00627DEF" w:rsidRPr="00627DEF" w:rsidRDefault="00000000" w:rsidP="00627DEF">
      <w:pPr>
        <w:tabs>
          <w:tab w:val="left" w:pos="1134"/>
        </w:tabs>
        <w:ind w:firstLine="720"/>
        <w:jc w:val="both"/>
        <w:rPr>
          <w:noProof/>
          <w:sz w:val="24"/>
          <w:szCs w:val="24"/>
          <w:lang w:eastAsia="lv-LV"/>
        </w:rPr>
      </w:pPr>
      <w:r w:rsidRPr="00627DEF">
        <w:rPr>
          <w:noProof/>
          <w:sz w:val="24"/>
          <w:szCs w:val="24"/>
          <w:lang w:eastAsia="lv-LV"/>
        </w:rPr>
        <w:t>Centrs aicina ārstniecības iestādes nepieciešamības gadījumā aktualizēt rīcības plānus par darbu gripas epidēmijas laikā un gripas epidēmijas draudu gadījumā.</w:t>
      </w:r>
      <w:r>
        <w:rPr>
          <w:noProof/>
          <w:sz w:val="24"/>
          <w:szCs w:val="24"/>
          <w:vertAlign w:val="superscript"/>
          <w:lang w:eastAsia="lv-LV"/>
        </w:rPr>
        <w:footnoteReference w:id="2"/>
      </w:r>
      <w:r w:rsidRPr="00627DEF">
        <w:rPr>
          <w:noProof/>
          <w:sz w:val="24"/>
          <w:szCs w:val="24"/>
          <w:lang w:eastAsia="lv-LV"/>
        </w:rPr>
        <w:t xml:space="preserve"> Centrs vērš uzmanību, ka periodā ar paaugstinātu respiratoro vīrusu cirkulāciju, tostarp gripas epidēmijas periodā ārstniecības iestāžu darbiniekiem, pacientiem, kā arī apmeklētājiem slimnīcās un ilgstošās sociālās aprūpes iestādēs ieteicams lietot sejas maskas atbilstoši iestādes rīcības plānam.</w:t>
      </w:r>
    </w:p>
    <w:p w:rsidR="00627DEF" w:rsidRPr="00627DEF" w:rsidRDefault="00000000" w:rsidP="00627DEF">
      <w:pPr>
        <w:tabs>
          <w:tab w:val="left" w:pos="1134"/>
        </w:tabs>
        <w:ind w:firstLine="720"/>
        <w:jc w:val="both"/>
        <w:rPr>
          <w:b/>
          <w:bCs/>
          <w:noProof/>
          <w:sz w:val="24"/>
          <w:szCs w:val="24"/>
          <w:lang w:eastAsia="lv-LV"/>
        </w:rPr>
      </w:pPr>
      <w:r w:rsidRPr="00627DEF">
        <w:rPr>
          <w:noProof/>
          <w:sz w:val="24"/>
          <w:szCs w:val="24"/>
          <w:lang w:eastAsia="lv-LV"/>
        </w:rPr>
        <w:t>Ņemot vērā agrīno gripas aktivitātes pieaugumu, Centrs aicina vakcinācijas iestādes tās rīcībā esošā pretgripas vakcīnu daudzumā turpināt riska grupu pacientu</w:t>
      </w:r>
      <w:r>
        <w:rPr>
          <w:noProof/>
          <w:sz w:val="24"/>
          <w:szCs w:val="24"/>
          <w:vertAlign w:val="superscript"/>
          <w:lang w:eastAsia="lv-LV"/>
        </w:rPr>
        <w:footnoteReference w:id="3"/>
      </w:r>
      <w:r w:rsidRPr="00627DEF">
        <w:rPr>
          <w:noProof/>
          <w:sz w:val="24"/>
          <w:szCs w:val="24"/>
          <w:lang w:eastAsia="lv-LV"/>
        </w:rPr>
        <w:t xml:space="preserve">, vakcināciju, lai laikus nodrošinātu aizsardzību pret smagu slimības gaitu un komplikācijām. </w:t>
      </w:r>
    </w:p>
    <w:p w:rsidR="00627DEF" w:rsidRPr="00627DEF" w:rsidRDefault="00000000" w:rsidP="00627DEF">
      <w:pPr>
        <w:tabs>
          <w:tab w:val="left" w:pos="1134"/>
        </w:tabs>
        <w:ind w:firstLine="720"/>
        <w:jc w:val="both"/>
        <w:rPr>
          <w:noProof/>
          <w:sz w:val="24"/>
          <w:szCs w:val="24"/>
          <w:lang w:eastAsia="lv-LV"/>
        </w:rPr>
      </w:pPr>
      <w:r w:rsidRPr="00627DEF">
        <w:rPr>
          <w:noProof/>
          <w:sz w:val="24"/>
          <w:szCs w:val="24"/>
          <w:lang w:eastAsia="lv-LV"/>
        </w:rPr>
        <w:t>Centrs informē, ka veiktajā riska novērtējumā ECDC uzsver savlaicīgas pretvīrusu līdzekļu lietošanas nozīmi pacientiem ar gripas simptomiem, lai samazinātu komplikāciju un slimības progresēšanas risku pacientu grupās ar augstāku smagas slimības risku. Pretvīrusu līdzekļi ir īpaši nozīmīgi situācijās, kad cirkulē gripas celms atšķiras no vakcīnā iekļautā celma. Lai izvairītos no kavēšanās specifiskās ārstēšanas uzsākšanā, kas var samazināt pretvīrusu terapijas efektivitāti, pacientu testēšana (piemēram, izmantojot ātrus testus), izmantojama kā pamats terapijas uzsākšanai. Tomēr, ja testēšana nav iespējama, lēmums par pretvīrusu līdzekļa nozīmēšanu pieņem, balstoties uz gripai raksturīgu klīnisko ainu un aktuāliem epidemioloģiskās situācijas datiem. Pretvīrusu līdzekļu izmantošanu profilakses nolūkā apsverama gripas uzliesmojumu gadījumos slēgtās iestādēs, piemēram, ilgstošās sociālās aprūpes iestādēs, neatkarīgi no klientu vakcinācijas statusa.</w:t>
      </w:r>
    </w:p>
    <w:p w:rsidR="00627DEF" w:rsidRPr="00627DEF" w:rsidRDefault="00000000" w:rsidP="00627DEF">
      <w:pPr>
        <w:tabs>
          <w:tab w:val="left" w:pos="1134"/>
        </w:tabs>
        <w:ind w:firstLine="720"/>
        <w:jc w:val="both"/>
        <w:rPr>
          <w:noProof/>
          <w:sz w:val="24"/>
          <w:szCs w:val="24"/>
          <w:lang w:eastAsia="lv-LV"/>
        </w:rPr>
      </w:pPr>
      <w:r w:rsidRPr="00627DEF">
        <w:rPr>
          <w:noProof/>
          <w:sz w:val="24"/>
          <w:szCs w:val="24"/>
          <w:lang w:eastAsia="lv-LV"/>
        </w:rPr>
        <w:t xml:space="preserve">Centrs informē, ka līdz 21.11.2025. ir izmantotas 80% no valsts iegādātajām pretgripas vakcīnām. Ņemot vērā paaugstināto pieprasījumu atsevišķās vakcinācijas iestādēs, ir rasta iespēja pasūtīt vakcīnas </w:t>
      </w:r>
      <w:r w:rsidR="0065571E">
        <w:rPr>
          <w:noProof/>
          <w:sz w:val="24"/>
          <w:szCs w:val="24"/>
          <w:lang w:eastAsia="lv-LV"/>
        </w:rPr>
        <w:t>“</w:t>
      </w:r>
      <w:r w:rsidRPr="00627DEF">
        <w:rPr>
          <w:noProof/>
          <w:sz w:val="24"/>
          <w:szCs w:val="24"/>
          <w:lang w:eastAsia="lv-LV"/>
        </w:rPr>
        <w:t>Vaxigrip</w:t>
      </w:r>
      <w:r w:rsidR="0065571E">
        <w:rPr>
          <w:noProof/>
          <w:sz w:val="24"/>
          <w:szCs w:val="24"/>
          <w:lang w:eastAsia="lv-LV"/>
        </w:rPr>
        <w:t>”</w:t>
      </w:r>
      <w:r w:rsidRPr="00627DEF">
        <w:rPr>
          <w:noProof/>
          <w:sz w:val="24"/>
          <w:szCs w:val="24"/>
          <w:lang w:eastAsia="lv-LV"/>
        </w:rPr>
        <w:t xml:space="preserve"> papildu devas, kas orientējoši būs pieejamas decembra beigās. Par to Centrs informēs atsevišķi.</w:t>
      </w:r>
    </w:p>
    <w:p w:rsidR="00627DEF" w:rsidRPr="00627DEF" w:rsidRDefault="00627DEF" w:rsidP="00627DEF">
      <w:pPr>
        <w:tabs>
          <w:tab w:val="left" w:pos="1134"/>
        </w:tabs>
        <w:ind w:firstLine="720"/>
        <w:jc w:val="both"/>
        <w:rPr>
          <w:noProof/>
          <w:sz w:val="24"/>
          <w:szCs w:val="24"/>
          <w:lang w:eastAsia="lv-LV"/>
        </w:rPr>
      </w:pPr>
    </w:p>
    <w:p w:rsidR="00627DEF" w:rsidRPr="00627DEF" w:rsidRDefault="00000000" w:rsidP="00627DEF">
      <w:pPr>
        <w:tabs>
          <w:tab w:val="left" w:pos="1134"/>
        </w:tabs>
        <w:ind w:firstLine="720"/>
        <w:jc w:val="both"/>
        <w:rPr>
          <w:noProof/>
          <w:sz w:val="24"/>
          <w:szCs w:val="24"/>
          <w:lang w:eastAsia="lv-LV"/>
        </w:rPr>
      </w:pPr>
      <w:r w:rsidRPr="00627DEF">
        <w:rPr>
          <w:noProof/>
          <w:sz w:val="24"/>
          <w:szCs w:val="24"/>
          <w:lang w:eastAsia="lv-LV"/>
        </w:rPr>
        <w:t>Lūdzam izplatīt šo informāciju asociāciju biedriem un slimnīcu atbildīgajām personām. Labklājības ministrijai lūdzam izplatīt informāciju ilgstošās sociālās aprūpes iestādēm.</w:t>
      </w:r>
    </w:p>
    <w:p w:rsidR="00627DEF" w:rsidRPr="00627DEF" w:rsidRDefault="00627DEF" w:rsidP="00627DEF">
      <w:pPr>
        <w:tabs>
          <w:tab w:val="left" w:pos="1134"/>
        </w:tabs>
        <w:ind w:firstLine="720"/>
        <w:jc w:val="both"/>
        <w:rPr>
          <w:noProof/>
          <w:sz w:val="24"/>
          <w:szCs w:val="24"/>
          <w:lang w:eastAsia="lv-LV"/>
        </w:rPr>
      </w:pPr>
    </w:p>
    <w:p w:rsidR="002079F2" w:rsidRPr="007906BB" w:rsidRDefault="00000000" w:rsidP="00B05F8C">
      <w:pPr>
        <w:tabs>
          <w:tab w:val="left" w:pos="1134"/>
        </w:tabs>
        <w:ind w:firstLine="720"/>
        <w:jc w:val="both"/>
        <w:rPr>
          <w:noProof/>
          <w:sz w:val="24"/>
          <w:szCs w:val="24"/>
          <w:lang w:eastAsia="lv-LV"/>
        </w:rPr>
      </w:pPr>
      <w:r w:rsidRPr="00627DEF">
        <w:rPr>
          <w:noProof/>
          <w:sz w:val="24"/>
          <w:szCs w:val="24"/>
          <w:lang w:eastAsia="lv-LV"/>
        </w:rPr>
        <w:t xml:space="preserve">Pielikumā: Informācija par epidemioloģisko situāciju ar gripu. </w:t>
      </w:r>
    </w:p>
    <w:p w:rsidR="00477923" w:rsidRPr="003F6412" w:rsidRDefault="00000000" w:rsidP="00784C77">
      <w:pPr>
        <w:tabs>
          <w:tab w:val="left" w:pos="6804"/>
        </w:tabs>
        <w:spacing w:before="480" w:after="480"/>
        <w:jc w:val="both"/>
        <w:rPr>
          <w:sz w:val="24"/>
          <w:szCs w:val="24"/>
        </w:rPr>
      </w:pPr>
      <w:r w:rsidRPr="003F6412">
        <w:rPr>
          <w:sz w:val="24"/>
          <w:szCs w:val="24"/>
        </w:rPr>
        <w:t>Direktor</w:t>
      </w:r>
      <w:r w:rsidR="00B05F8C">
        <w:rPr>
          <w:sz w:val="24"/>
          <w:szCs w:val="24"/>
        </w:rPr>
        <w:t xml:space="preserve">a </w:t>
      </w:r>
      <w:proofErr w:type="spellStart"/>
      <w:r w:rsidR="00B05F8C">
        <w:rPr>
          <w:sz w:val="24"/>
          <w:szCs w:val="24"/>
        </w:rPr>
        <w:t>p.i</w:t>
      </w:r>
      <w:proofErr w:type="spellEnd"/>
      <w:r w:rsidR="00B05F8C">
        <w:rPr>
          <w:sz w:val="24"/>
          <w:szCs w:val="24"/>
        </w:rPr>
        <w:t>.</w:t>
      </w:r>
      <w:r w:rsidRPr="003F6412">
        <w:rPr>
          <w:sz w:val="24"/>
          <w:szCs w:val="24"/>
        </w:rPr>
        <w:tab/>
      </w:r>
      <w:r w:rsidRPr="003F6412">
        <w:rPr>
          <w:noProof/>
          <w:sz w:val="24"/>
          <w:szCs w:val="24"/>
          <w:lang w:eastAsia="lv-LV"/>
        </w:rPr>
        <w:t>Dzintars Mozgis</w:t>
      </w:r>
    </w:p>
    <w:p w:rsidR="002079F2" w:rsidRDefault="00000000" w:rsidP="002079F2">
      <w:pPr>
        <w:pStyle w:val="BodyB"/>
        <w:rPr>
          <w:sz w:val="20"/>
        </w:rPr>
      </w:pPr>
      <w:r>
        <w:rPr>
          <w:noProof/>
          <w:sz w:val="20"/>
        </w:rPr>
        <w:t>Linda Krauze</w:t>
      </w:r>
      <w:r>
        <w:rPr>
          <w:sz w:val="20"/>
        </w:rPr>
        <w:t xml:space="preserve"> </w:t>
      </w:r>
      <w:r>
        <w:rPr>
          <w:noProof/>
          <w:sz w:val="20"/>
        </w:rPr>
        <w:t>67387670</w:t>
      </w:r>
    </w:p>
    <w:p w:rsidR="00A91007" w:rsidRPr="00A91007" w:rsidRDefault="00000000" w:rsidP="00477923">
      <w:pPr>
        <w:pStyle w:val="BodyB"/>
      </w:pPr>
      <w:r>
        <w:rPr>
          <w:noProof/>
          <w:sz w:val="20"/>
        </w:rPr>
        <w:t>linda.krauze@spkc.gov.lv</w:t>
      </w:r>
    </w:p>
    <w:sectPr w:rsidR="00A91007" w:rsidRPr="00A91007" w:rsidSect="008C265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E49" w:rsidRDefault="001B2E49">
      <w:r>
        <w:separator/>
      </w:r>
    </w:p>
  </w:endnote>
  <w:endnote w:type="continuationSeparator" w:id="0">
    <w:p w:rsidR="001B2E49" w:rsidRDefault="001B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4B" w:rsidRDefault="00000000" w:rsidP="00F84E4B">
    <w:pPr>
      <w:pStyle w:val="Footer"/>
      <w:jc w:val="center"/>
    </w:pPr>
    <w:r w:rsidRPr="001B3C4F">
      <w:t>DOKUMENTS PARAKSTĪTS ELEKTRONISKI AR DROŠU ELEKTRONISKO PARAKSTU</w:t>
    </w:r>
  </w:p>
  <w:p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E49" w:rsidRDefault="001B2E49">
      <w:r>
        <w:separator/>
      </w:r>
    </w:p>
  </w:footnote>
  <w:footnote w:type="continuationSeparator" w:id="0">
    <w:p w:rsidR="001B2E49" w:rsidRDefault="001B2E49">
      <w:r>
        <w:continuationSeparator/>
      </w:r>
    </w:p>
  </w:footnote>
  <w:footnote w:id="1">
    <w:p w:rsidR="00627DEF" w:rsidRPr="00965212" w:rsidRDefault="00000000" w:rsidP="00627DEF">
      <w:pPr>
        <w:pStyle w:val="FootnoteText"/>
        <w:rPr>
          <w:rFonts w:asciiTheme="majorBidi" w:hAnsiTheme="majorBidi" w:cstheme="majorBidi"/>
          <w:color w:val="FF0000"/>
        </w:rPr>
      </w:pPr>
      <w:r w:rsidRPr="00965212">
        <w:rPr>
          <w:rStyle w:val="FootnoteReference"/>
          <w:rFonts w:asciiTheme="majorBidi" w:hAnsiTheme="majorBidi" w:cstheme="majorBidi"/>
        </w:rPr>
        <w:footnoteRef/>
      </w:r>
      <w:r w:rsidRPr="00965212">
        <w:rPr>
          <w:rFonts w:asciiTheme="majorBidi" w:hAnsiTheme="majorBidi" w:cstheme="majorBidi"/>
        </w:rPr>
        <w:t xml:space="preserve"> </w:t>
      </w:r>
      <w:hyperlink r:id="rId1" w:history="1">
        <w:r w:rsidR="00627DEF" w:rsidRPr="00965212">
          <w:rPr>
            <w:rStyle w:val="Hyperlink"/>
            <w:rFonts w:asciiTheme="majorBidi" w:hAnsiTheme="majorBidi" w:cstheme="majorBidi"/>
          </w:rPr>
          <w:t>https://www.ecdc.europa.eu/en/publications-data/threat-assessment-brief-assessing-risk-influenza-november-2025</w:t>
        </w:r>
      </w:hyperlink>
      <w:r w:rsidRPr="00965212">
        <w:rPr>
          <w:rFonts w:asciiTheme="majorBidi" w:hAnsiTheme="majorBidi" w:cstheme="majorBidi"/>
        </w:rPr>
        <w:t xml:space="preserve"> </w:t>
      </w:r>
    </w:p>
  </w:footnote>
  <w:footnote w:id="2">
    <w:p w:rsidR="00627DEF" w:rsidRDefault="00000000" w:rsidP="00627DEF">
      <w:pPr>
        <w:pStyle w:val="FootnoteText"/>
        <w:rPr>
          <w:lang w:val="lv"/>
        </w:rPr>
      </w:pPr>
      <w:r w:rsidRPr="00965212">
        <w:rPr>
          <w:rStyle w:val="FootnoteReference"/>
          <w:rFonts w:asciiTheme="majorBidi" w:hAnsiTheme="majorBidi" w:cstheme="majorBidi"/>
        </w:rPr>
        <w:footnoteRef/>
      </w:r>
      <w:r w:rsidRPr="00965212">
        <w:rPr>
          <w:rFonts w:asciiTheme="majorBidi" w:hAnsiTheme="majorBidi" w:cstheme="majorBidi"/>
        </w:rPr>
        <w:t xml:space="preserve"> </w:t>
      </w:r>
      <w:r w:rsidRPr="00965212">
        <w:rPr>
          <w:rFonts w:asciiTheme="majorBidi" w:hAnsiTheme="majorBidi" w:cstheme="majorBidi"/>
          <w:lang w:val="lv"/>
        </w:rPr>
        <w:t xml:space="preserve">Ministru kabineta 2006. gada 21. novembra noteikumu Nr. 948 „Noteikumi par gripas </w:t>
      </w:r>
      <w:proofErr w:type="spellStart"/>
      <w:r w:rsidRPr="00965212">
        <w:rPr>
          <w:rFonts w:asciiTheme="majorBidi" w:hAnsiTheme="majorBidi" w:cstheme="majorBidi"/>
          <w:lang w:val="lv"/>
        </w:rPr>
        <w:t>pretepidēmijas</w:t>
      </w:r>
      <w:proofErr w:type="spellEnd"/>
      <w:r w:rsidRPr="00965212">
        <w:rPr>
          <w:rFonts w:asciiTheme="majorBidi" w:hAnsiTheme="majorBidi" w:cstheme="majorBidi"/>
          <w:lang w:val="lv"/>
        </w:rPr>
        <w:t xml:space="preserve"> pasākumiem” (</w:t>
      </w:r>
      <w:hyperlink r:id="rId2">
        <w:r w:rsidR="00627DEF" w:rsidRPr="00965212">
          <w:rPr>
            <w:rStyle w:val="Hyperlink"/>
            <w:rFonts w:asciiTheme="majorBidi" w:hAnsiTheme="majorBidi" w:cstheme="majorBidi"/>
            <w:lang w:val="lv"/>
          </w:rPr>
          <w:t>https://likumi.lv/ta/id/148626-noteikumi-par-gripas-pretepidemijas-pasakumiem</w:t>
        </w:r>
      </w:hyperlink>
      <w:r w:rsidRPr="00965212">
        <w:rPr>
          <w:rFonts w:asciiTheme="majorBidi" w:hAnsiTheme="majorBidi" w:cstheme="majorBidi"/>
          <w:lang w:val="lv"/>
        </w:rPr>
        <w:t xml:space="preserve"> ) 5. punkts, kas paredz darbības šādas jomās: ārstniecības iestādes darbinieku individuālā gripas profilakse (personāla vakcinācija, specifisko pretgripas preparātu lietošana un aizsarglīdzekļu izmantošana), ārstniecības iestādes darba režīms, tai skaitā gripu ierobežojošie pasākumi, gripas slimnieku ārstēšanas un aprūpes taktika, rezerves ārstniecības personāla nodrošinājums un papildu resursu iesaistīšana, ārstniecības iestādes gultasvietu pārprofilēšana gripas epidēmijas laikā, ārstniecības iestādes personāla apmācība, kā rīkoties gripas epidēmijas laikā, pacientu un viņu ģimenes locekļu izglītošana gripas profilakses jautājumos.</w:t>
      </w:r>
    </w:p>
  </w:footnote>
  <w:footnote w:id="3">
    <w:p w:rsidR="00627DEF" w:rsidRDefault="00000000" w:rsidP="00627DEF">
      <w:pPr>
        <w:pStyle w:val="FootnoteText"/>
        <w:rPr>
          <w:rFonts w:asciiTheme="majorBidi" w:eastAsia="Times New Roman" w:hAnsiTheme="majorBidi" w:cstheme="majorBidi"/>
          <w:lang w:val="lv-LV"/>
        </w:rPr>
      </w:pPr>
      <w:r w:rsidRPr="6F7C2FD6">
        <w:rPr>
          <w:rStyle w:val="FootnoteReference"/>
          <w:rFonts w:asciiTheme="majorBidi" w:eastAsia="Times New Roman" w:hAnsiTheme="majorBidi" w:cstheme="majorBidi"/>
          <w:lang w:val="lv-LV"/>
        </w:rPr>
        <w:footnoteRef/>
      </w:r>
      <w:r w:rsidRPr="6F7C2FD6">
        <w:rPr>
          <w:rFonts w:asciiTheme="majorBidi" w:eastAsia="Times New Roman" w:hAnsiTheme="majorBidi" w:cstheme="majorBidi"/>
          <w:lang w:val="lv-LV"/>
        </w:rPr>
        <w:t xml:space="preserve"> </w:t>
      </w:r>
      <w:hyperlink r:id="rId3" w:history="1">
        <w:r w:rsidR="00627DEF" w:rsidRPr="00503D7E">
          <w:rPr>
            <w:rStyle w:val="Hyperlink"/>
            <w:rFonts w:asciiTheme="majorBidi" w:eastAsia="Times New Roman" w:hAnsiTheme="majorBidi" w:cstheme="majorBidi"/>
            <w:lang w:val="lv-LV"/>
          </w:rPr>
          <w:t>https://www.spkc.gov.lv/lv/valsts-apmaksata-vakcinacija-pret-sezonalo-gripu</w:t>
        </w:r>
      </w:hyperlink>
      <w:r>
        <w:rPr>
          <w:rFonts w:asciiTheme="majorBidi" w:eastAsia="Times New Roman" w:hAnsiTheme="majorBidi" w:cstheme="majorBidi"/>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76723"/>
    <w:multiLevelType w:val="hybridMultilevel"/>
    <w:tmpl w:val="75C4787A"/>
    <w:lvl w:ilvl="0" w:tplc="BBD80352">
      <w:start w:val="1"/>
      <w:numFmt w:val="decimal"/>
      <w:lvlText w:val="%1."/>
      <w:lvlJc w:val="left"/>
      <w:pPr>
        <w:ind w:left="720" w:hanging="360"/>
      </w:pPr>
      <w:rPr>
        <w:rFonts w:hint="default"/>
      </w:rPr>
    </w:lvl>
    <w:lvl w:ilvl="1" w:tplc="97EE2DCA">
      <w:start w:val="1"/>
      <w:numFmt w:val="lowerLetter"/>
      <w:lvlText w:val="%2."/>
      <w:lvlJc w:val="left"/>
      <w:pPr>
        <w:ind w:left="1440" w:hanging="360"/>
      </w:pPr>
    </w:lvl>
    <w:lvl w:ilvl="2" w:tplc="201E6C4C" w:tentative="1">
      <w:start w:val="1"/>
      <w:numFmt w:val="lowerRoman"/>
      <w:lvlText w:val="%3."/>
      <w:lvlJc w:val="right"/>
      <w:pPr>
        <w:ind w:left="2160" w:hanging="180"/>
      </w:pPr>
    </w:lvl>
    <w:lvl w:ilvl="3" w:tplc="1728B3E2" w:tentative="1">
      <w:start w:val="1"/>
      <w:numFmt w:val="decimal"/>
      <w:lvlText w:val="%4."/>
      <w:lvlJc w:val="left"/>
      <w:pPr>
        <w:ind w:left="2880" w:hanging="360"/>
      </w:pPr>
    </w:lvl>
    <w:lvl w:ilvl="4" w:tplc="68A63E7C" w:tentative="1">
      <w:start w:val="1"/>
      <w:numFmt w:val="lowerLetter"/>
      <w:lvlText w:val="%5."/>
      <w:lvlJc w:val="left"/>
      <w:pPr>
        <w:ind w:left="3600" w:hanging="360"/>
      </w:pPr>
    </w:lvl>
    <w:lvl w:ilvl="5" w:tplc="67021A60" w:tentative="1">
      <w:start w:val="1"/>
      <w:numFmt w:val="lowerRoman"/>
      <w:lvlText w:val="%6."/>
      <w:lvlJc w:val="right"/>
      <w:pPr>
        <w:ind w:left="4320" w:hanging="180"/>
      </w:pPr>
    </w:lvl>
    <w:lvl w:ilvl="6" w:tplc="3CE8E254" w:tentative="1">
      <w:start w:val="1"/>
      <w:numFmt w:val="decimal"/>
      <w:lvlText w:val="%7."/>
      <w:lvlJc w:val="left"/>
      <w:pPr>
        <w:ind w:left="5040" w:hanging="360"/>
      </w:pPr>
    </w:lvl>
    <w:lvl w:ilvl="7" w:tplc="48486424" w:tentative="1">
      <w:start w:val="1"/>
      <w:numFmt w:val="lowerLetter"/>
      <w:lvlText w:val="%8."/>
      <w:lvlJc w:val="left"/>
      <w:pPr>
        <w:ind w:left="5760" w:hanging="360"/>
      </w:pPr>
    </w:lvl>
    <w:lvl w:ilvl="8" w:tplc="137C0216"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60722276">
    <w:abstractNumId w:val="0"/>
  </w:num>
  <w:num w:numId="2" w16cid:durableId="61987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C7380"/>
    <w:rsid w:val="000D65D1"/>
    <w:rsid w:val="00112C48"/>
    <w:rsid w:val="00154B6E"/>
    <w:rsid w:val="00172A3B"/>
    <w:rsid w:val="00195A3A"/>
    <w:rsid w:val="001963C5"/>
    <w:rsid w:val="001B2E49"/>
    <w:rsid w:val="001B3C4F"/>
    <w:rsid w:val="001F3DE1"/>
    <w:rsid w:val="002079F2"/>
    <w:rsid w:val="00222B8B"/>
    <w:rsid w:val="00237C47"/>
    <w:rsid w:val="00247E9C"/>
    <w:rsid w:val="00280BAC"/>
    <w:rsid w:val="002975CD"/>
    <w:rsid w:val="00376EF5"/>
    <w:rsid w:val="003A5E2C"/>
    <w:rsid w:val="003E7BBE"/>
    <w:rsid w:val="003F0A35"/>
    <w:rsid w:val="003F2940"/>
    <w:rsid w:val="003F6412"/>
    <w:rsid w:val="00415D28"/>
    <w:rsid w:val="00443D6E"/>
    <w:rsid w:val="004568DF"/>
    <w:rsid w:val="00456D43"/>
    <w:rsid w:val="00477923"/>
    <w:rsid w:val="00480BD0"/>
    <w:rsid w:val="004A063D"/>
    <w:rsid w:val="004B4BF0"/>
    <w:rsid w:val="00503D7E"/>
    <w:rsid w:val="00505CA0"/>
    <w:rsid w:val="005249D9"/>
    <w:rsid w:val="0055269A"/>
    <w:rsid w:val="005603D1"/>
    <w:rsid w:val="00584C02"/>
    <w:rsid w:val="00587CC8"/>
    <w:rsid w:val="005D3E87"/>
    <w:rsid w:val="00627DEF"/>
    <w:rsid w:val="0065571E"/>
    <w:rsid w:val="006765DF"/>
    <w:rsid w:val="006A3E8D"/>
    <w:rsid w:val="006D3FD6"/>
    <w:rsid w:val="00700818"/>
    <w:rsid w:val="007322A6"/>
    <w:rsid w:val="00784C77"/>
    <w:rsid w:val="007906BB"/>
    <w:rsid w:val="00847171"/>
    <w:rsid w:val="00893003"/>
    <w:rsid w:val="008B15BC"/>
    <w:rsid w:val="008B6D06"/>
    <w:rsid w:val="008B742D"/>
    <w:rsid w:val="008C265B"/>
    <w:rsid w:val="00965212"/>
    <w:rsid w:val="00987215"/>
    <w:rsid w:val="00994AA3"/>
    <w:rsid w:val="009E26F3"/>
    <w:rsid w:val="00A23AAC"/>
    <w:rsid w:val="00A24A6B"/>
    <w:rsid w:val="00A277B8"/>
    <w:rsid w:val="00A75C03"/>
    <w:rsid w:val="00A91007"/>
    <w:rsid w:val="00B05611"/>
    <w:rsid w:val="00B05F8C"/>
    <w:rsid w:val="00B16961"/>
    <w:rsid w:val="00B86B76"/>
    <w:rsid w:val="00BE7124"/>
    <w:rsid w:val="00BF3D96"/>
    <w:rsid w:val="00C12D6E"/>
    <w:rsid w:val="00C4438A"/>
    <w:rsid w:val="00C92245"/>
    <w:rsid w:val="00CA27BF"/>
    <w:rsid w:val="00CB2202"/>
    <w:rsid w:val="00CB6AD2"/>
    <w:rsid w:val="00CB77F0"/>
    <w:rsid w:val="00CC1A82"/>
    <w:rsid w:val="00CC4F90"/>
    <w:rsid w:val="00CD015F"/>
    <w:rsid w:val="00CF7F8C"/>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66025"/>
    <w:rsid w:val="00F84E4B"/>
    <w:rsid w:val="00FB54D0"/>
    <w:rsid w:val="00FE4CB2"/>
    <w:rsid w:val="6F7C2F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247D"/>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FootnoteTextChar"/>
    <w:uiPriority w:val="99"/>
    <w:unhideWhenUsed/>
    <w:rsid w:val="00627DEF"/>
    <w:rPr>
      <w:rFonts w:ascii="Cambria" w:eastAsia="MS Mincho" w:hAnsi="Cambria"/>
      <w:lang w:val="en-US"/>
    </w:rPr>
  </w:style>
  <w:style w:type="character" w:customStyle="1" w:styleId="FootnoteTextChar">
    <w:name w:val="Footnote Text Char"/>
    <w:basedOn w:val="DefaultParagraphFont"/>
    <w:link w:val="FootnoteText"/>
    <w:uiPriority w:val="99"/>
    <w:rsid w:val="00627DEF"/>
    <w:rPr>
      <w:rFonts w:ascii="Cambria" w:eastAsia="MS Mincho" w:hAnsi="Cambria"/>
      <w:lang w:val="en-US" w:eastAsia="en-US"/>
    </w:rPr>
  </w:style>
  <w:style w:type="character" w:styleId="FootnoteReference">
    <w:name w:val="footnote reference"/>
    <w:basedOn w:val="DefaultParagraphFont"/>
    <w:uiPriority w:val="99"/>
    <w:unhideWhenUsed/>
    <w:rsid w:val="00627DEF"/>
    <w:rPr>
      <w:vertAlign w:val="superscript"/>
    </w:rPr>
  </w:style>
  <w:style w:type="character" w:styleId="Hyperlink">
    <w:name w:val="Hyperlink"/>
    <w:basedOn w:val="DefaultParagraphFont"/>
    <w:uiPriority w:val="99"/>
    <w:unhideWhenUsed/>
    <w:rsid w:val="00627D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lv/valsts-apmaksata-vakcinacija-pret-sezonalo-gripu" TargetMode="External"/><Relationship Id="rId2" Type="http://schemas.openxmlformats.org/officeDocument/2006/relationships/hyperlink" Target="https://likumi.lv/ta/id/148626-noteikumi-par-gripas-pretepidemijas-pasakumiem" TargetMode="External"/><Relationship Id="rId1" Type="http://schemas.openxmlformats.org/officeDocument/2006/relationships/hyperlink" Target="https://www.ecdc.europa.eu/en/publications-data/threat-assessment-brief-assessing-risk-influenza-novembe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1</Pages>
  <Words>2143</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Eleonora Taube</cp:lastModifiedBy>
  <cp:revision>1</cp:revision>
  <cp:lastPrinted>2016-02-15T06:53:00Z</cp:lastPrinted>
  <dcterms:created xsi:type="dcterms:W3CDTF">2025-12-01T14:30:00Z</dcterms:created>
  <dcterms:modified xsi:type="dcterms:W3CDTF">2025-12-01T14:30:00Z</dcterms:modified>
</cp:coreProperties>
</file>