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A6B" w:rsidRPr="00D5053F" w:rsidRDefault="00000000" w:rsidP="003E7BBE">
      <w:pPr>
        <w:spacing w:before="360"/>
        <w:jc w:val="center"/>
        <w:rPr>
          <w:sz w:val="17"/>
          <w:szCs w:val="17"/>
        </w:rPr>
      </w:pPr>
      <w:r>
        <w:rPr>
          <w:noProof/>
          <w:lang w:eastAsia="lv-LV"/>
        </w:rPr>
        <w:drawing>
          <wp:anchor distT="0" distB="0" distL="114300" distR="114300" simplePos="0" relativeHeight="251660288" behindDoc="1" locked="0" layoutInCell="1" allowOverlap="1" wp14:anchorId="46064A0E" wp14:editId="7A53E70E">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14:anchorId="7FD3FA78" wp14:editId="023CCD80">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5D4E886B" id="Group 41" o:spid="_x0000_s1026" style="position:absolute;margin-left:145.7pt;margin-top:150.5pt;width:346.25pt;height:.1pt;z-index:-25165824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rsidR="00E46A48" w:rsidRDefault="00000000" w:rsidP="00E46A48">
      <w:pPr>
        <w:pStyle w:val="Header"/>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firstRow="1" w:lastRow="0" w:firstColumn="1" w:lastColumn="0" w:noHBand="0" w:noVBand="1"/>
      </w:tblPr>
      <w:tblGrid>
        <w:gridCol w:w="5425"/>
        <w:gridCol w:w="3646"/>
      </w:tblGrid>
      <w:tr w:rsidR="007D0939" w:rsidTr="00C5711F">
        <w:trPr>
          <w:trHeight w:val="313"/>
        </w:trPr>
        <w:tc>
          <w:tcPr>
            <w:tcW w:w="5495" w:type="dxa"/>
          </w:tcPr>
          <w:p w:rsidR="00222B8B" w:rsidRDefault="00000000" w:rsidP="00222B8B">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1-8.2/2025/2286</w:t>
            </w:r>
          </w:p>
          <w:p w:rsidR="002079F2" w:rsidRPr="00CB2202" w:rsidRDefault="002079F2" w:rsidP="00222B8B">
            <w:pPr>
              <w:tabs>
                <w:tab w:val="left" w:pos="0"/>
                <w:tab w:val="left" w:pos="7371"/>
              </w:tabs>
              <w:rPr>
                <w:sz w:val="24"/>
                <w:szCs w:val="24"/>
              </w:rPr>
            </w:pPr>
          </w:p>
        </w:tc>
        <w:tc>
          <w:tcPr>
            <w:tcW w:w="3685" w:type="dxa"/>
          </w:tcPr>
          <w:p w:rsidR="00941397" w:rsidRDefault="00000000" w:rsidP="00941397">
            <w:pPr>
              <w:tabs>
                <w:tab w:val="left" w:pos="7371"/>
              </w:tabs>
              <w:rPr>
                <w:noProof/>
                <w:sz w:val="24"/>
                <w:szCs w:val="24"/>
              </w:rPr>
            </w:pPr>
            <w:r w:rsidRPr="5702EC91">
              <w:rPr>
                <w:noProof/>
                <w:sz w:val="24"/>
                <w:szCs w:val="24"/>
              </w:rPr>
              <w:t>Stacionārās ārstniecības iestādes (pēc pievienotā saraksta)</w:t>
            </w:r>
          </w:p>
          <w:p w:rsidR="00941397" w:rsidRDefault="00000000" w:rsidP="00941397">
            <w:pPr>
              <w:tabs>
                <w:tab w:val="left" w:pos="7371"/>
              </w:tabs>
              <w:rPr>
                <w:noProof/>
                <w:sz w:val="24"/>
                <w:szCs w:val="24"/>
              </w:rPr>
            </w:pPr>
            <w:r w:rsidRPr="5702EC91">
              <w:rPr>
                <w:noProof/>
                <w:sz w:val="24"/>
                <w:szCs w:val="24"/>
              </w:rPr>
              <w:t>Ārstu profesionālās asociācijas (pēc pievienotā saraksta)</w:t>
            </w:r>
          </w:p>
          <w:p w:rsidR="00941397" w:rsidRDefault="00000000" w:rsidP="00941397">
            <w:pPr>
              <w:tabs>
                <w:tab w:val="left" w:pos="0"/>
                <w:tab w:val="left" w:pos="7371"/>
              </w:tabs>
              <w:rPr>
                <w:noProof/>
                <w:sz w:val="24"/>
                <w:szCs w:val="24"/>
              </w:rPr>
            </w:pPr>
            <w:r>
              <w:rPr>
                <w:noProof/>
                <w:sz w:val="24"/>
                <w:szCs w:val="24"/>
              </w:rPr>
              <w:t>Neatliekamās medicīniskās palīdzības dienests</w:t>
            </w:r>
          </w:p>
          <w:p w:rsidR="00941397" w:rsidRDefault="00000000" w:rsidP="00941397">
            <w:pPr>
              <w:tabs>
                <w:tab w:val="left" w:pos="0"/>
                <w:tab w:val="left" w:pos="7371"/>
              </w:tabs>
              <w:rPr>
                <w:noProof/>
                <w:sz w:val="24"/>
                <w:szCs w:val="24"/>
              </w:rPr>
            </w:pPr>
            <w:r>
              <w:rPr>
                <w:noProof/>
                <w:sz w:val="24"/>
                <w:szCs w:val="24"/>
              </w:rPr>
              <w:t>Latvijas pašvaldību mācību centrs</w:t>
            </w:r>
          </w:p>
          <w:p w:rsidR="00941397" w:rsidRDefault="00941397" w:rsidP="00941397">
            <w:pPr>
              <w:tabs>
                <w:tab w:val="left" w:pos="0"/>
                <w:tab w:val="left" w:pos="7371"/>
              </w:tabs>
              <w:rPr>
                <w:noProof/>
                <w:sz w:val="24"/>
                <w:szCs w:val="24"/>
              </w:rPr>
            </w:pPr>
          </w:p>
          <w:p w:rsidR="00941397" w:rsidRDefault="00000000" w:rsidP="00941397">
            <w:pPr>
              <w:tabs>
                <w:tab w:val="left" w:pos="0"/>
                <w:tab w:val="left" w:pos="7371"/>
              </w:tabs>
              <w:rPr>
                <w:noProof/>
                <w:sz w:val="24"/>
                <w:szCs w:val="24"/>
              </w:rPr>
            </w:pPr>
            <w:r>
              <w:rPr>
                <w:noProof/>
                <w:sz w:val="24"/>
                <w:szCs w:val="24"/>
              </w:rPr>
              <w:t>Zināšanai: Latvijas Republikas Veselības ministrijai</w:t>
            </w:r>
          </w:p>
          <w:p w:rsidR="002079F2" w:rsidRDefault="00000000" w:rsidP="00941397">
            <w:pPr>
              <w:tabs>
                <w:tab w:val="left" w:pos="0"/>
                <w:tab w:val="left" w:pos="7371"/>
              </w:tabs>
              <w:rPr>
                <w:sz w:val="24"/>
                <w:szCs w:val="24"/>
              </w:rPr>
            </w:pPr>
            <w:r>
              <w:rPr>
                <w:noProof/>
                <w:sz w:val="24"/>
                <w:szCs w:val="24"/>
              </w:rPr>
              <w:t>Nacionālajam veselības dienestam Veselības inspekcijai</w:t>
            </w:r>
          </w:p>
        </w:tc>
      </w:tr>
    </w:tbl>
    <w:p w:rsidR="002079F2" w:rsidRPr="00195A3A" w:rsidRDefault="00000000" w:rsidP="002079F2">
      <w:pPr>
        <w:pStyle w:val="Header"/>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 difterijas profilakses pasākumiem</w:t>
      </w:r>
    </w:p>
    <w:p w:rsidR="00941397" w:rsidRDefault="00000000" w:rsidP="00941397">
      <w:pPr>
        <w:ind w:firstLine="720"/>
        <w:contextualSpacing/>
        <w:jc w:val="both"/>
        <w:rPr>
          <w:rStyle w:val="normaltextrun"/>
          <w:rFonts w:asciiTheme="majorBidi" w:hAnsiTheme="majorBidi" w:cstheme="majorBidi"/>
          <w:sz w:val="24"/>
          <w:szCs w:val="24"/>
        </w:rPr>
      </w:pPr>
      <w:r w:rsidRPr="5702EC91">
        <w:rPr>
          <w:rStyle w:val="normaltextrun"/>
          <w:rFonts w:asciiTheme="majorBidi" w:hAnsiTheme="majorBidi" w:cstheme="majorBidi"/>
          <w:sz w:val="24"/>
          <w:szCs w:val="24"/>
        </w:rPr>
        <w:t xml:space="preserve">Slimību profilakses un kontroles centrs (turpmāk – Centrs) </w:t>
      </w:r>
      <w:proofErr w:type="spellStart"/>
      <w:r w:rsidRPr="5702EC91">
        <w:rPr>
          <w:rStyle w:val="normaltextrun"/>
          <w:rFonts w:asciiTheme="majorBidi" w:hAnsiTheme="majorBidi" w:cstheme="majorBidi"/>
          <w:sz w:val="24"/>
          <w:szCs w:val="24"/>
        </w:rPr>
        <w:t>EpiPulse</w:t>
      </w:r>
      <w:proofErr w:type="spellEnd"/>
      <w:r>
        <w:rPr>
          <w:rStyle w:val="FootnoteReference"/>
          <w:rFonts w:asciiTheme="majorBidi" w:hAnsiTheme="majorBidi" w:cstheme="majorBidi"/>
          <w:sz w:val="24"/>
          <w:szCs w:val="24"/>
        </w:rPr>
        <w:footnoteReference w:id="1"/>
      </w:r>
      <w:r w:rsidRPr="5702EC91">
        <w:rPr>
          <w:rStyle w:val="normaltextrun"/>
          <w:rFonts w:asciiTheme="majorBidi" w:hAnsiTheme="majorBidi" w:cstheme="majorBidi"/>
          <w:sz w:val="24"/>
          <w:szCs w:val="24"/>
        </w:rPr>
        <w:t xml:space="preserve"> sistēmas ietvaros ir saņēmis informāciju, ka Lietuvā apstiprināts difterijas gadījums Afganistānas bēglim, kurš slimības dēļ miris. Slimības ierosinātājs (</w:t>
      </w:r>
      <w:proofErr w:type="spellStart"/>
      <w:r w:rsidRPr="5702EC91">
        <w:rPr>
          <w:rStyle w:val="normaltextrun"/>
          <w:rFonts w:asciiTheme="majorBidi" w:hAnsiTheme="majorBidi" w:cstheme="majorBidi"/>
          <w:i/>
          <w:iCs/>
          <w:sz w:val="24"/>
          <w:szCs w:val="24"/>
        </w:rPr>
        <w:t>Corynebacterium</w:t>
      </w:r>
      <w:proofErr w:type="spellEnd"/>
      <w:r w:rsidRPr="5702EC91">
        <w:rPr>
          <w:rStyle w:val="normaltextrun"/>
          <w:rFonts w:asciiTheme="majorBidi" w:hAnsiTheme="majorBidi" w:cstheme="majorBidi"/>
          <w:i/>
          <w:iCs/>
          <w:sz w:val="24"/>
          <w:szCs w:val="24"/>
        </w:rPr>
        <w:t xml:space="preserve"> </w:t>
      </w:r>
      <w:proofErr w:type="spellStart"/>
      <w:r w:rsidRPr="5702EC91">
        <w:rPr>
          <w:rStyle w:val="normaltextrun"/>
          <w:rFonts w:asciiTheme="majorBidi" w:hAnsiTheme="majorBidi" w:cstheme="majorBidi"/>
          <w:i/>
          <w:iCs/>
          <w:sz w:val="24"/>
          <w:szCs w:val="24"/>
        </w:rPr>
        <w:t>diphtheriae</w:t>
      </w:r>
      <w:proofErr w:type="spellEnd"/>
      <w:r w:rsidRPr="5702EC91">
        <w:rPr>
          <w:rStyle w:val="normaltextrun"/>
          <w:rFonts w:asciiTheme="majorBidi" w:hAnsiTheme="majorBidi" w:cstheme="majorBidi"/>
          <w:sz w:val="24"/>
          <w:szCs w:val="24"/>
        </w:rPr>
        <w:t>) tika identificēts pēc pacienta nāves. Līdz šim pēdējais difterijas gadījums Lietuvā tika diagnosticēts 2011. gadā.</w:t>
      </w:r>
    </w:p>
    <w:p w:rsidR="00941397" w:rsidRDefault="00000000" w:rsidP="00941397">
      <w:pPr>
        <w:ind w:firstLine="720"/>
        <w:contextualSpacing/>
        <w:jc w:val="both"/>
        <w:rPr>
          <w:rFonts w:asciiTheme="majorBidi" w:eastAsia="Roboto" w:hAnsiTheme="majorBidi" w:cstheme="majorBidi"/>
          <w:sz w:val="24"/>
          <w:szCs w:val="24"/>
        </w:rPr>
      </w:pPr>
      <w:r w:rsidRPr="5702EC91">
        <w:rPr>
          <w:rStyle w:val="normaltextrun"/>
          <w:rFonts w:asciiTheme="majorBidi" w:hAnsiTheme="majorBidi" w:cstheme="majorBidi"/>
          <w:sz w:val="24"/>
          <w:szCs w:val="24"/>
        </w:rPr>
        <w:t xml:space="preserve">Eiropas Slimību profilakses un kontroles centrs ziņo, ka kopš </w:t>
      </w:r>
      <w:r w:rsidRPr="5702EC91">
        <w:rPr>
          <w:rFonts w:asciiTheme="majorBidi" w:eastAsia="Roboto" w:hAnsiTheme="majorBidi" w:cstheme="majorBidi"/>
          <w:sz w:val="24"/>
          <w:szCs w:val="24"/>
        </w:rPr>
        <w:t xml:space="preserve">2022. gadā Eiropas Savienības un Eiropas Ekonomikas zonas (turpmāk </w:t>
      </w:r>
      <w:r w:rsidRPr="5702EC91">
        <w:rPr>
          <w:rStyle w:val="normaltextrun"/>
          <w:rFonts w:asciiTheme="majorBidi" w:hAnsiTheme="majorBidi" w:cstheme="majorBidi"/>
          <w:sz w:val="24"/>
          <w:szCs w:val="24"/>
        </w:rPr>
        <w:t>–</w:t>
      </w:r>
      <w:r w:rsidRPr="5702EC91">
        <w:rPr>
          <w:rFonts w:asciiTheme="majorBidi" w:eastAsia="Roboto" w:hAnsiTheme="majorBidi" w:cstheme="majorBidi"/>
          <w:sz w:val="24"/>
          <w:szCs w:val="24"/>
        </w:rPr>
        <w:t xml:space="preserve"> ES un EEZ) valstīs ievērojami pieaudzis difterijas gadījumu skaits, kas galvenokārt bija saistīts ar inficētu migrantu ieceļošanu Eiropā.</w:t>
      </w:r>
      <w:r>
        <w:rPr>
          <w:rStyle w:val="FootnoteReference"/>
          <w:rFonts w:asciiTheme="majorBidi" w:eastAsia="Roboto" w:hAnsiTheme="majorBidi" w:cstheme="majorBidi"/>
          <w:sz w:val="24"/>
          <w:szCs w:val="24"/>
        </w:rPr>
        <w:footnoteReference w:id="2"/>
      </w:r>
      <w:r w:rsidRPr="5702EC91">
        <w:rPr>
          <w:rFonts w:asciiTheme="majorBidi" w:eastAsia="Roboto" w:hAnsiTheme="majorBidi" w:cstheme="majorBidi"/>
          <w:sz w:val="24"/>
          <w:szCs w:val="24"/>
        </w:rPr>
        <w:t xml:space="preserve"> Laika posmā no 2022. gada līdz 2025. gada 4. jūnijam bija ziņots par 554 difterijas gadījumiem. No tiem lielākā daļa (58%) bija difterijas gadījumi, kas tika ievesti ES un EEZ valstīs. Attiecīgajā laika periodā septiņas valstis ziņoja par 11 nāves gadījumiem, ko izraisīja difterija.</w:t>
      </w:r>
      <w:r>
        <w:rPr>
          <w:rStyle w:val="FootnoteReference"/>
          <w:rFonts w:asciiTheme="majorBidi" w:eastAsia="Roboto" w:hAnsiTheme="majorBidi" w:cstheme="majorBidi"/>
          <w:sz w:val="24"/>
          <w:szCs w:val="24"/>
        </w:rPr>
        <w:footnoteReference w:id="3"/>
      </w:r>
      <w:r>
        <w:rPr>
          <w:rFonts w:asciiTheme="majorBidi" w:eastAsia="Roboto" w:hAnsiTheme="majorBidi" w:cstheme="majorBidi"/>
          <w:sz w:val="24"/>
          <w:szCs w:val="24"/>
        </w:rPr>
        <w:t xml:space="preserve"> </w:t>
      </w:r>
      <w:r w:rsidRPr="5702EC91">
        <w:rPr>
          <w:rFonts w:asciiTheme="majorBidi" w:eastAsia="Roboto" w:hAnsiTheme="majorBidi" w:cstheme="majorBidi"/>
          <w:sz w:val="24"/>
          <w:szCs w:val="24"/>
        </w:rPr>
        <w:t>ECDC skatījumā iedzīvotāju riska grupās ietilpst migranti, patvēruma meklētāji, bezpajumtnieki, narkotiku lietotāji, nevakcinētas personas un gados vecāki pieaugušie.</w:t>
      </w:r>
    </w:p>
    <w:p w:rsidR="00941397" w:rsidRDefault="00000000" w:rsidP="00941397">
      <w:pPr>
        <w:spacing w:line="259" w:lineRule="auto"/>
        <w:ind w:firstLine="720"/>
        <w:jc w:val="both"/>
        <w:rPr>
          <w:rFonts w:asciiTheme="majorBidi" w:hAnsiTheme="majorBidi" w:cstheme="majorBidi"/>
          <w:sz w:val="24"/>
          <w:szCs w:val="24"/>
        </w:rPr>
      </w:pPr>
      <w:r w:rsidRPr="00FBFB03">
        <w:rPr>
          <w:rFonts w:asciiTheme="majorBidi" w:hAnsiTheme="majorBidi" w:cstheme="majorBidi"/>
          <w:sz w:val="24"/>
          <w:szCs w:val="24"/>
        </w:rPr>
        <w:t>Vakcinācijai ir izšķiroša nozīme difterijas profilaksē. Saskaņā ar „Sabiedrības veselības pamatnostādnēm 2021.-2027. gadam” difterijas eliminācijas nolūkā līdz 2027. gadam jāsasniedz vismaz 95% vakcinācijas aptvere bērniem līdz 7 gadiem, 93% pusaudžiem, kā arī 57% pieaugušo iedzīvotāju vidū.</w:t>
      </w:r>
      <w:r>
        <w:rPr>
          <w:rStyle w:val="FootnoteReference"/>
          <w:rFonts w:asciiTheme="majorBidi" w:hAnsiTheme="majorBidi" w:cstheme="majorBidi"/>
          <w:sz w:val="24"/>
          <w:szCs w:val="24"/>
        </w:rPr>
        <w:footnoteReference w:id="4"/>
      </w:r>
      <w:r w:rsidRPr="00FBFB03">
        <w:rPr>
          <w:rFonts w:asciiTheme="majorBidi" w:hAnsiTheme="majorBidi" w:cstheme="majorBidi"/>
          <w:sz w:val="24"/>
          <w:szCs w:val="24"/>
        </w:rPr>
        <w:t xml:space="preserve"> Centra vakcinācijas monitoringa dati liecina, ka noteiktie vakcinācijas mērķa radītāji sasniegti tikai daļēji </w:t>
      </w:r>
      <w:r w:rsidRPr="00FBFB03">
        <w:rPr>
          <w:rStyle w:val="normaltextrun"/>
          <w:rFonts w:asciiTheme="majorBidi" w:hAnsiTheme="majorBidi" w:cstheme="majorBidi"/>
          <w:sz w:val="24"/>
          <w:szCs w:val="24"/>
        </w:rPr>
        <w:t>–</w:t>
      </w:r>
      <w:r w:rsidRPr="00FBFB03">
        <w:rPr>
          <w:rFonts w:asciiTheme="majorBidi" w:hAnsiTheme="majorBidi" w:cstheme="majorBidi"/>
          <w:sz w:val="24"/>
          <w:szCs w:val="24"/>
        </w:rPr>
        <w:t xml:space="preserve"> tikai pirmā un otrā dzīves gada bērniem.</w:t>
      </w:r>
    </w:p>
    <w:p w:rsidR="00941397" w:rsidRDefault="00941397" w:rsidP="00941397">
      <w:pPr>
        <w:spacing w:line="259" w:lineRule="auto"/>
        <w:ind w:firstLine="720"/>
        <w:jc w:val="both"/>
        <w:rPr>
          <w:rFonts w:asciiTheme="majorBidi" w:hAnsiTheme="majorBidi" w:cstheme="majorBidi"/>
          <w:sz w:val="24"/>
          <w:szCs w:val="24"/>
        </w:rPr>
      </w:pPr>
    </w:p>
    <w:p w:rsidR="00941397" w:rsidRDefault="00000000" w:rsidP="00941397">
      <w:pPr>
        <w:spacing w:line="259" w:lineRule="auto"/>
        <w:ind w:firstLine="720"/>
        <w:jc w:val="both"/>
        <w:rPr>
          <w:rFonts w:asciiTheme="majorBidi" w:hAnsiTheme="majorBidi" w:cstheme="majorBidi"/>
          <w:sz w:val="24"/>
          <w:szCs w:val="24"/>
        </w:rPr>
      </w:pPr>
      <w:r w:rsidRPr="5702EC91">
        <w:rPr>
          <w:rFonts w:asciiTheme="majorBidi" w:hAnsiTheme="majorBidi" w:cstheme="majorBidi"/>
          <w:sz w:val="24"/>
          <w:szCs w:val="24"/>
        </w:rPr>
        <w:t>Sakarā ar minēto Centrs aicina:</w:t>
      </w:r>
    </w:p>
    <w:p w:rsidR="00941397" w:rsidRDefault="00000000" w:rsidP="00941397">
      <w:pPr>
        <w:pStyle w:val="ListParagraph"/>
        <w:numPr>
          <w:ilvl w:val="0"/>
          <w:numId w:val="3"/>
        </w:numPr>
        <w:spacing w:after="0" w:line="259" w:lineRule="auto"/>
        <w:jc w:val="both"/>
        <w:rPr>
          <w:rFonts w:asciiTheme="majorBidi" w:hAnsiTheme="majorBidi" w:cstheme="majorBidi"/>
          <w:sz w:val="24"/>
          <w:szCs w:val="24"/>
        </w:rPr>
      </w:pPr>
      <w:r w:rsidRPr="5702EC91">
        <w:rPr>
          <w:rFonts w:asciiTheme="majorBidi" w:hAnsiTheme="majorBidi" w:cstheme="majorBidi"/>
          <w:sz w:val="24"/>
          <w:szCs w:val="24"/>
        </w:rPr>
        <w:t>ģimenes ārstus pārliecināties, ka praksē reģistrētie pacienti ir vakcinēti pret difteriju atbilstoši bērnu vakcinācijas kalendāram un pieaugušo vakcinācijas rekomendācijām</w:t>
      </w:r>
      <w:r>
        <w:rPr>
          <w:rStyle w:val="FootnoteReference"/>
          <w:rFonts w:asciiTheme="majorBidi" w:hAnsiTheme="majorBidi" w:cstheme="majorBidi"/>
          <w:sz w:val="24"/>
          <w:szCs w:val="24"/>
        </w:rPr>
        <w:footnoteReference w:id="5"/>
      </w:r>
      <w:r w:rsidRPr="5702EC91">
        <w:rPr>
          <w:rFonts w:asciiTheme="majorBidi" w:hAnsiTheme="majorBidi" w:cstheme="majorBidi"/>
          <w:sz w:val="24"/>
          <w:szCs w:val="24"/>
        </w:rPr>
        <w:t>, un nepieciešamības gadījumā veikt vakcināciju;</w:t>
      </w:r>
    </w:p>
    <w:p w:rsidR="00941397" w:rsidRDefault="00000000" w:rsidP="00941397">
      <w:pPr>
        <w:pStyle w:val="ListParagraph"/>
        <w:numPr>
          <w:ilvl w:val="0"/>
          <w:numId w:val="3"/>
        </w:numPr>
        <w:spacing w:after="0" w:line="259" w:lineRule="auto"/>
        <w:jc w:val="both"/>
        <w:rPr>
          <w:rFonts w:asciiTheme="majorBidi" w:hAnsiTheme="majorBidi" w:cstheme="majorBidi"/>
          <w:sz w:val="24"/>
          <w:szCs w:val="24"/>
        </w:rPr>
      </w:pPr>
      <w:r w:rsidRPr="5702EC91">
        <w:rPr>
          <w:rFonts w:asciiTheme="majorBidi" w:hAnsiTheme="majorBidi" w:cstheme="majorBidi"/>
          <w:sz w:val="24"/>
          <w:szCs w:val="24"/>
        </w:rPr>
        <w:t xml:space="preserve">ārstniecības iestāžu vadītājus atgādināt darbiniekiem par </w:t>
      </w:r>
      <w:proofErr w:type="spellStart"/>
      <w:r w:rsidRPr="5702EC91">
        <w:rPr>
          <w:rFonts w:asciiTheme="majorBidi" w:hAnsiTheme="majorBidi" w:cstheme="majorBidi"/>
          <w:sz w:val="24"/>
          <w:szCs w:val="24"/>
        </w:rPr>
        <w:t>balstvakcinācijas</w:t>
      </w:r>
      <w:proofErr w:type="spellEnd"/>
      <w:r w:rsidRPr="5702EC91">
        <w:rPr>
          <w:rFonts w:asciiTheme="majorBidi" w:hAnsiTheme="majorBidi" w:cstheme="majorBidi"/>
          <w:sz w:val="24"/>
          <w:szCs w:val="24"/>
        </w:rPr>
        <w:t xml:space="preserve"> pret difteriju nepieciešamību;</w:t>
      </w:r>
    </w:p>
    <w:p w:rsidR="00941397" w:rsidRPr="00255FB5" w:rsidRDefault="00000000" w:rsidP="00941397">
      <w:pPr>
        <w:pStyle w:val="ListParagraph"/>
        <w:numPr>
          <w:ilvl w:val="0"/>
          <w:numId w:val="3"/>
        </w:numPr>
        <w:spacing w:after="0" w:line="259" w:lineRule="auto"/>
        <w:jc w:val="both"/>
        <w:rPr>
          <w:rFonts w:asciiTheme="majorBidi" w:eastAsia="Roboto" w:hAnsiTheme="majorBidi" w:cstheme="majorBidi"/>
          <w:sz w:val="24"/>
          <w:szCs w:val="24"/>
        </w:rPr>
      </w:pPr>
      <w:r w:rsidRPr="00FBFB03">
        <w:rPr>
          <w:rFonts w:asciiTheme="majorBidi" w:hAnsiTheme="majorBidi" w:cstheme="majorBidi"/>
          <w:sz w:val="24"/>
          <w:szCs w:val="24"/>
        </w:rPr>
        <w:t xml:space="preserve">ambulatorā un stacionārā tīkla ārstus apsvērt difterijas iespējamību pacientiem ar attiecīgiem simptomiem, tostarp difterijas ādas formu, ziņot Centram par šādiem gadījumiem un veikt pacientu testēšanu, lai laikus nodrošinātu </w:t>
      </w:r>
      <w:proofErr w:type="spellStart"/>
      <w:r w:rsidRPr="00FBFB03">
        <w:rPr>
          <w:rFonts w:asciiTheme="majorBidi" w:hAnsiTheme="majorBidi" w:cstheme="majorBidi"/>
          <w:sz w:val="24"/>
          <w:szCs w:val="24"/>
        </w:rPr>
        <w:t>pretepidēmijas</w:t>
      </w:r>
      <w:proofErr w:type="spellEnd"/>
      <w:r w:rsidRPr="00FBFB03">
        <w:rPr>
          <w:rFonts w:asciiTheme="majorBidi" w:hAnsiTheme="majorBidi" w:cstheme="majorBidi"/>
          <w:sz w:val="24"/>
          <w:szCs w:val="24"/>
        </w:rPr>
        <w:t xml:space="preserve"> pasākumus difterijas perēkļos. Īpašā uzmanība jāpievieš riska grupas pacientiem: migrantiem, patvēruma meklētājiem, bezpajumtniekiem, narkotiku lietotājiem, nevakcinētiem indivīdiem un gados vecākiem pieaugušajiem.</w:t>
      </w:r>
    </w:p>
    <w:p w:rsidR="00941397" w:rsidRDefault="00941397" w:rsidP="00941397">
      <w:pPr>
        <w:ind w:firstLine="720"/>
        <w:contextualSpacing/>
        <w:jc w:val="both"/>
        <w:rPr>
          <w:rFonts w:asciiTheme="majorBidi" w:eastAsia="Roboto" w:hAnsiTheme="majorBidi" w:cstheme="majorBidi"/>
          <w:i/>
          <w:iCs/>
          <w:sz w:val="24"/>
          <w:szCs w:val="24"/>
        </w:rPr>
      </w:pPr>
    </w:p>
    <w:p w:rsidR="00941397" w:rsidRDefault="00000000" w:rsidP="00941397">
      <w:pPr>
        <w:ind w:firstLine="720"/>
        <w:contextualSpacing/>
        <w:jc w:val="both"/>
        <w:rPr>
          <w:rFonts w:asciiTheme="majorBidi" w:eastAsia="Roboto" w:hAnsiTheme="majorBidi" w:cstheme="majorBidi"/>
          <w:sz w:val="24"/>
          <w:szCs w:val="24"/>
        </w:rPr>
      </w:pPr>
      <w:r w:rsidRPr="00FBFB03">
        <w:rPr>
          <w:rFonts w:asciiTheme="majorBidi" w:eastAsia="Roboto" w:hAnsiTheme="majorBidi" w:cstheme="majorBidi"/>
          <w:b/>
          <w:bCs/>
          <w:sz w:val="24"/>
          <w:szCs w:val="24"/>
        </w:rPr>
        <w:t>Papildu informācija par epidemioloģisko situāciju ar difteriju un vakcinācijas monitoringa datiem.</w:t>
      </w:r>
      <w:r w:rsidRPr="00FBFB03">
        <w:rPr>
          <w:rFonts w:asciiTheme="majorBidi" w:eastAsia="Roboto" w:hAnsiTheme="majorBidi" w:cstheme="majorBidi"/>
          <w:sz w:val="24"/>
          <w:szCs w:val="24"/>
        </w:rPr>
        <w:t xml:space="preserve"> No 554 reģistrētajiem difterijas gadījumiem ES/EEZ valstīs 2022.–2025. gadā 73% (n = 404) bija pacienti ar tikai ādas formas difteriju. </w:t>
      </w:r>
      <w:r w:rsidRPr="00FBFB03">
        <w:rPr>
          <w:sz w:val="24"/>
          <w:szCs w:val="24"/>
        </w:rPr>
        <w:t xml:space="preserve">Kopumā 62 difterijas pacientiem bija elpceļu izpausmes, no kuriem sešiem bija gan elpceļu, gan ādas izpausmes. Elpceļu difterijas gadījumu īpatsvars veidoja 12%. Sešiem pacientiem konstatētas citas klīniskās izpausmes, un vienam gadījumam bija deguna difterijas forma. No 554 </w:t>
      </w:r>
      <w:r w:rsidRPr="00FBFB03">
        <w:rPr>
          <w:rFonts w:asciiTheme="majorBidi" w:eastAsia="Roboto" w:hAnsiTheme="majorBidi" w:cstheme="majorBidi"/>
          <w:sz w:val="24"/>
          <w:szCs w:val="24"/>
        </w:rPr>
        <w:t>reģistrētajiem difterijas gadījumiem</w:t>
      </w:r>
      <w:r w:rsidRPr="00FBFB03">
        <w:rPr>
          <w:sz w:val="24"/>
          <w:szCs w:val="24"/>
        </w:rPr>
        <w:t xml:space="preserve"> </w:t>
      </w:r>
      <w:r w:rsidRPr="00FBFB03">
        <w:rPr>
          <w:rFonts w:asciiTheme="majorBidi" w:hAnsiTheme="majorBidi" w:cstheme="majorBidi"/>
          <w:i/>
          <w:iCs/>
          <w:sz w:val="24"/>
          <w:szCs w:val="24"/>
        </w:rPr>
        <w:t xml:space="preserve">C. </w:t>
      </w:r>
      <w:proofErr w:type="spellStart"/>
      <w:r w:rsidRPr="00FBFB03">
        <w:rPr>
          <w:rFonts w:asciiTheme="majorBidi" w:hAnsiTheme="majorBidi" w:cstheme="majorBidi"/>
          <w:i/>
          <w:iCs/>
          <w:sz w:val="24"/>
          <w:szCs w:val="24"/>
        </w:rPr>
        <w:t>diphtheriae</w:t>
      </w:r>
      <w:proofErr w:type="spellEnd"/>
      <w:r w:rsidRPr="00FBFB03">
        <w:rPr>
          <w:rFonts w:asciiTheme="majorBidi" w:hAnsiTheme="majorBidi" w:cstheme="majorBidi"/>
          <w:sz w:val="24"/>
          <w:szCs w:val="24"/>
        </w:rPr>
        <w:t xml:space="preserve"> </w:t>
      </w:r>
      <w:r w:rsidRPr="00FBFB03">
        <w:rPr>
          <w:sz w:val="24"/>
          <w:szCs w:val="24"/>
        </w:rPr>
        <w:t>bija izraisītājs 82 gadījumos.</w:t>
      </w:r>
    </w:p>
    <w:p w:rsidR="00941397" w:rsidRDefault="00000000" w:rsidP="00941397">
      <w:pPr>
        <w:ind w:firstLine="720"/>
        <w:contextualSpacing/>
        <w:jc w:val="both"/>
        <w:rPr>
          <w:rFonts w:asciiTheme="majorBidi" w:eastAsia="Roboto" w:hAnsiTheme="majorBidi" w:cstheme="majorBidi"/>
          <w:sz w:val="24"/>
          <w:szCs w:val="24"/>
        </w:rPr>
      </w:pPr>
      <w:r w:rsidRPr="5702EC91">
        <w:rPr>
          <w:rFonts w:asciiTheme="majorBidi" w:eastAsia="Roboto" w:hAnsiTheme="majorBidi" w:cstheme="majorBidi"/>
          <w:sz w:val="24"/>
          <w:szCs w:val="24"/>
        </w:rPr>
        <w:t>Lielākā daļa no 11 difterijas pacientu nāves gadījumu (n=8) bija saistīti ar elpceļu difteriju, vienam nāves gadījumam bija cita klīniskā aina, un diviem nāves gadījumiem klīniskā aina nebija pieejama. Četri no 11 letālajiem gadījumiem bija nevakcinētiem cilvēkiem, un par pārējiem septiņiem letālajiem gadījumiem vakcinācijas statuss nebija pieejams.</w:t>
      </w:r>
    </w:p>
    <w:p w:rsidR="00941397" w:rsidRDefault="00000000" w:rsidP="00941397">
      <w:pPr>
        <w:ind w:firstLine="720"/>
        <w:contextualSpacing/>
        <w:jc w:val="both"/>
        <w:rPr>
          <w:sz w:val="24"/>
          <w:szCs w:val="24"/>
        </w:rPr>
      </w:pPr>
      <w:r w:rsidRPr="00FBFB03">
        <w:rPr>
          <w:rFonts w:asciiTheme="majorBidi" w:hAnsiTheme="majorBidi" w:cstheme="majorBidi"/>
          <w:sz w:val="24"/>
          <w:szCs w:val="24"/>
        </w:rPr>
        <w:t xml:space="preserve">Latvijā attiecīgajā laika posmā konstatēti deviņi apstiprināti difterijas gadījumi: 2023. gadā – trīs gadījumi, 2024. gadā – pieci gadījumi, 2025. gadā – viens gadījums. No deviņiem difterijas gadījumiem astoņiem izraisījusi </w:t>
      </w:r>
      <w:r w:rsidRPr="00FBFB03">
        <w:rPr>
          <w:rFonts w:asciiTheme="majorBidi" w:hAnsiTheme="majorBidi" w:cstheme="majorBidi"/>
          <w:i/>
          <w:iCs/>
          <w:sz w:val="24"/>
          <w:szCs w:val="24"/>
        </w:rPr>
        <w:t xml:space="preserve">C. </w:t>
      </w:r>
      <w:proofErr w:type="spellStart"/>
      <w:r w:rsidRPr="00FBFB03">
        <w:rPr>
          <w:rFonts w:asciiTheme="majorBidi" w:hAnsiTheme="majorBidi" w:cstheme="majorBidi"/>
          <w:i/>
          <w:iCs/>
          <w:sz w:val="24"/>
          <w:szCs w:val="24"/>
        </w:rPr>
        <w:t>diphtheriae</w:t>
      </w:r>
      <w:proofErr w:type="spellEnd"/>
      <w:r w:rsidRPr="00FBFB03">
        <w:rPr>
          <w:rFonts w:asciiTheme="majorBidi" w:hAnsiTheme="majorBidi" w:cstheme="majorBidi"/>
          <w:sz w:val="24"/>
          <w:szCs w:val="24"/>
        </w:rPr>
        <w:t xml:space="preserve"> un</w:t>
      </w:r>
      <w:r w:rsidRPr="00FBFB03">
        <w:rPr>
          <w:rFonts w:asciiTheme="majorBidi" w:hAnsiTheme="majorBidi" w:cstheme="majorBidi"/>
          <w:i/>
          <w:iCs/>
          <w:sz w:val="24"/>
          <w:szCs w:val="24"/>
        </w:rPr>
        <w:t xml:space="preserve"> </w:t>
      </w:r>
      <w:r w:rsidRPr="00FBFB03">
        <w:rPr>
          <w:rFonts w:asciiTheme="majorBidi" w:hAnsiTheme="majorBidi" w:cstheme="majorBidi"/>
          <w:sz w:val="24"/>
          <w:szCs w:val="24"/>
        </w:rPr>
        <w:t xml:space="preserve">vienam – </w:t>
      </w:r>
      <w:r w:rsidRPr="00FBFB03">
        <w:rPr>
          <w:rFonts w:asciiTheme="majorBidi" w:hAnsiTheme="majorBidi" w:cstheme="majorBidi"/>
          <w:i/>
          <w:iCs/>
          <w:sz w:val="24"/>
          <w:szCs w:val="24"/>
        </w:rPr>
        <w:t xml:space="preserve">C. </w:t>
      </w:r>
      <w:proofErr w:type="spellStart"/>
      <w:r w:rsidRPr="00FBFB03">
        <w:rPr>
          <w:rFonts w:asciiTheme="majorBidi" w:hAnsiTheme="majorBidi" w:cstheme="majorBidi"/>
          <w:i/>
          <w:iCs/>
          <w:sz w:val="24"/>
          <w:szCs w:val="24"/>
        </w:rPr>
        <w:t>ulcerans</w:t>
      </w:r>
      <w:proofErr w:type="spellEnd"/>
      <w:r w:rsidRPr="00FBFB03">
        <w:rPr>
          <w:rFonts w:asciiTheme="majorBidi" w:hAnsiTheme="majorBidi" w:cstheme="majorBidi"/>
          <w:sz w:val="24"/>
          <w:szCs w:val="24"/>
        </w:rPr>
        <w:t>. Rīkles difterija konstatēta pieciem pacientiem, ādas forma – četriem pacientiem. Vidējais slimnieku vecums – 34 gadi (robežojas no 2 gadiem līdz 74 gadiem), mediāna – 35. Četros gadījumos difterija konstatēta vīriešiem un piecos gadījumos – sievietēm. Viens difterijas pacients miris 2023. gadā (vakcinācijas statuss nav zināms) un viens miris 2024. gadā (nav vakcinēts).</w:t>
      </w:r>
    </w:p>
    <w:p w:rsidR="00941397" w:rsidRDefault="00000000" w:rsidP="00941397">
      <w:pPr>
        <w:spacing w:line="259" w:lineRule="auto"/>
        <w:ind w:firstLine="720"/>
        <w:jc w:val="both"/>
        <w:rPr>
          <w:rFonts w:asciiTheme="majorBidi" w:hAnsiTheme="majorBidi" w:cstheme="majorBidi"/>
          <w:sz w:val="24"/>
          <w:szCs w:val="24"/>
        </w:rPr>
      </w:pPr>
      <w:r w:rsidRPr="00FBFB03">
        <w:rPr>
          <w:rFonts w:asciiTheme="majorBidi" w:hAnsiTheme="majorBidi" w:cstheme="majorBidi"/>
          <w:sz w:val="24"/>
          <w:szCs w:val="24"/>
        </w:rPr>
        <w:t xml:space="preserve">Centra vakcinācijas monitoringa dati liecina, ka 2024. gadā imunizācijas līmenis pret difteriju </w:t>
      </w:r>
      <w:proofErr w:type="spellStart"/>
      <w:r w:rsidRPr="00FBFB03">
        <w:rPr>
          <w:rFonts w:asciiTheme="majorBidi" w:hAnsiTheme="majorBidi" w:cstheme="majorBidi"/>
          <w:sz w:val="24"/>
          <w:szCs w:val="24"/>
        </w:rPr>
        <w:t>pārnsiedz</w:t>
      </w:r>
      <w:proofErr w:type="spellEnd"/>
      <w:r w:rsidRPr="00FBFB03">
        <w:rPr>
          <w:rFonts w:asciiTheme="majorBidi" w:hAnsiTheme="majorBidi" w:cstheme="majorBidi"/>
          <w:sz w:val="24"/>
          <w:szCs w:val="24"/>
        </w:rPr>
        <w:t xml:space="preserve"> 95% bērniem 2 mēnešu vecumā (pirmā deva), bērniem 6–11 mēnešu vecumā (trešā deva) un 12–15 mēnešu vecumā (pirmā </w:t>
      </w:r>
      <w:proofErr w:type="spellStart"/>
      <w:r w:rsidRPr="00FBFB03">
        <w:rPr>
          <w:rFonts w:asciiTheme="majorBidi" w:hAnsiTheme="majorBidi" w:cstheme="majorBidi"/>
          <w:sz w:val="24"/>
          <w:szCs w:val="24"/>
        </w:rPr>
        <w:t>balstvakcinācija</w:t>
      </w:r>
      <w:proofErr w:type="spellEnd"/>
      <w:r w:rsidRPr="00FBFB03">
        <w:rPr>
          <w:rFonts w:asciiTheme="majorBidi" w:hAnsiTheme="majorBidi" w:cstheme="majorBidi"/>
          <w:sz w:val="24"/>
          <w:szCs w:val="24"/>
        </w:rPr>
        <w:t xml:space="preserve">), bet vakcinācijas līmenis bērniem 7 gadu vecumā (otrā </w:t>
      </w:r>
      <w:proofErr w:type="spellStart"/>
      <w:r w:rsidRPr="00FBFB03">
        <w:rPr>
          <w:rFonts w:asciiTheme="majorBidi" w:hAnsiTheme="majorBidi" w:cstheme="majorBidi"/>
          <w:sz w:val="24"/>
          <w:szCs w:val="24"/>
        </w:rPr>
        <w:t>balstvakcinācija</w:t>
      </w:r>
      <w:proofErr w:type="spellEnd"/>
      <w:r w:rsidRPr="00FBFB03">
        <w:rPr>
          <w:rFonts w:asciiTheme="majorBidi" w:hAnsiTheme="majorBidi" w:cstheme="majorBidi"/>
          <w:sz w:val="24"/>
          <w:szCs w:val="24"/>
        </w:rPr>
        <w:t xml:space="preserve">) sasniedzis tikai 87% un 14 gadu vecumā (trešā </w:t>
      </w:r>
      <w:proofErr w:type="spellStart"/>
      <w:r w:rsidRPr="00FBFB03">
        <w:rPr>
          <w:rFonts w:asciiTheme="majorBidi" w:hAnsiTheme="majorBidi" w:cstheme="majorBidi"/>
          <w:sz w:val="24"/>
          <w:szCs w:val="24"/>
        </w:rPr>
        <w:t>balstvakcinācija</w:t>
      </w:r>
      <w:proofErr w:type="spellEnd"/>
      <w:r w:rsidRPr="00FBFB03">
        <w:rPr>
          <w:rFonts w:asciiTheme="majorBidi" w:hAnsiTheme="majorBidi" w:cstheme="majorBidi"/>
          <w:sz w:val="24"/>
          <w:szCs w:val="24"/>
        </w:rPr>
        <w:t xml:space="preserve">) tikai 88,2%. Savukārt 2024. gada dati par vakcinācijas savlaicīgumu liecina, ka laikus (atbilstoši bērnu vakcinācijas kalendāram) vakcinēto bērnu īpatsvars nevienā no vecuma grupām nesasniedz 95%: pirmo devu 2 mēnešu vecumā saņēma 85,2% bērnu, trešo devu 6–11 mēnešu vecumā saņēma 91,9% bērnu, pirmo </w:t>
      </w:r>
      <w:proofErr w:type="spellStart"/>
      <w:r w:rsidRPr="00FBFB03">
        <w:rPr>
          <w:rFonts w:asciiTheme="majorBidi" w:hAnsiTheme="majorBidi" w:cstheme="majorBidi"/>
          <w:sz w:val="24"/>
          <w:szCs w:val="24"/>
        </w:rPr>
        <w:t>balstvakcināciju</w:t>
      </w:r>
      <w:proofErr w:type="spellEnd"/>
      <w:r w:rsidRPr="00FBFB03">
        <w:rPr>
          <w:rFonts w:asciiTheme="majorBidi" w:hAnsiTheme="majorBidi" w:cstheme="majorBidi"/>
          <w:sz w:val="24"/>
          <w:szCs w:val="24"/>
        </w:rPr>
        <w:t xml:space="preserve"> 12–15 mēnešu vecumā saņēma 67,9%, otro </w:t>
      </w:r>
      <w:proofErr w:type="spellStart"/>
      <w:r w:rsidRPr="00FBFB03">
        <w:rPr>
          <w:rFonts w:asciiTheme="majorBidi" w:hAnsiTheme="majorBidi" w:cstheme="majorBidi"/>
          <w:sz w:val="24"/>
          <w:szCs w:val="24"/>
        </w:rPr>
        <w:t>balstvakcināciju</w:t>
      </w:r>
      <w:proofErr w:type="spellEnd"/>
      <w:r w:rsidRPr="00FBFB03">
        <w:rPr>
          <w:rFonts w:asciiTheme="majorBidi" w:hAnsiTheme="majorBidi" w:cstheme="majorBidi"/>
          <w:sz w:val="24"/>
          <w:szCs w:val="24"/>
        </w:rPr>
        <w:t xml:space="preserve"> 7 gadu vecumā – 77,4% bērnu un trešo </w:t>
      </w:r>
      <w:proofErr w:type="spellStart"/>
      <w:r w:rsidRPr="00FBFB03">
        <w:rPr>
          <w:rFonts w:asciiTheme="majorBidi" w:hAnsiTheme="majorBidi" w:cstheme="majorBidi"/>
          <w:sz w:val="24"/>
          <w:szCs w:val="24"/>
        </w:rPr>
        <w:t>balstvakcināciju</w:t>
      </w:r>
      <w:proofErr w:type="spellEnd"/>
      <w:r w:rsidRPr="00FBFB03">
        <w:rPr>
          <w:rFonts w:asciiTheme="majorBidi" w:hAnsiTheme="majorBidi" w:cstheme="majorBidi"/>
          <w:sz w:val="24"/>
          <w:szCs w:val="24"/>
        </w:rPr>
        <w:t xml:space="preserve"> 14 gadu vecumā – 66,7% bērnu. Pieaugušiem  vakcinācijas aptvere pret difteriju un stinguma krampjiem 2024. gadā (</w:t>
      </w:r>
      <w:proofErr w:type="spellStart"/>
      <w:r w:rsidRPr="00FBFB03">
        <w:rPr>
          <w:rFonts w:asciiTheme="majorBidi" w:hAnsiTheme="majorBidi" w:cstheme="majorBidi"/>
          <w:sz w:val="24"/>
          <w:szCs w:val="24"/>
        </w:rPr>
        <w:t>balstvakcinācija</w:t>
      </w:r>
      <w:proofErr w:type="spellEnd"/>
      <w:r w:rsidRPr="00FBFB03">
        <w:rPr>
          <w:rFonts w:asciiTheme="majorBidi" w:hAnsiTheme="majorBidi" w:cstheme="majorBidi"/>
          <w:sz w:val="24"/>
          <w:szCs w:val="24"/>
        </w:rPr>
        <w:t xml:space="preserve"> vai 3. deva) bija 53,6%.</w:t>
      </w:r>
    </w:p>
    <w:p w:rsidR="00941397" w:rsidRDefault="00941397" w:rsidP="00941397">
      <w:pPr>
        <w:ind w:firstLine="720"/>
        <w:contextualSpacing/>
        <w:jc w:val="both"/>
        <w:rPr>
          <w:rFonts w:asciiTheme="majorBidi" w:hAnsiTheme="majorBidi" w:cstheme="majorBidi"/>
          <w:sz w:val="24"/>
          <w:szCs w:val="24"/>
        </w:rPr>
      </w:pPr>
    </w:p>
    <w:p w:rsidR="00941397" w:rsidRPr="008708D7" w:rsidRDefault="00000000" w:rsidP="00941397">
      <w:pPr>
        <w:spacing w:line="259" w:lineRule="auto"/>
        <w:ind w:firstLine="720"/>
        <w:jc w:val="both"/>
      </w:pPr>
      <w:r w:rsidRPr="5702EC91">
        <w:rPr>
          <w:sz w:val="24"/>
          <w:szCs w:val="24"/>
        </w:rPr>
        <w:t>Centrs aicina izplatīt šo informāciju asociācijas biedriem un ārstniecības iestāžu darbiniekiem</w:t>
      </w:r>
      <w:r>
        <w:rPr>
          <w:sz w:val="24"/>
          <w:szCs w:val="24"/>
        </w:rPr>
        <w:t>.</w:t>
      </w:r>
    </w:p>
    <w:p w:rsidR="00941397" w:rsidRDefault="00000000" w:rsidP="00941397">
      <w:pPr>
        <w:spacing w:line="259" w:lineRule="auto"/>
        <w:ind w:firstLine="720"/>
        <w:jc w:val="both"/>
        <w:rPr>
          <w:rFonts w:asciiTheme="majorBidi" w:hAnsiTheme="majorBidi" w:cstheme="majorBidi"/>
          <w:sz w:val="24"/>
          <w:szCs w:val="24"/>
        </w:rPr>
      </w:pPr>
      <w:r w:rsidRPr="5702EC91">
        <w:rPr>
          <w:rFonts w:asciiTheme="majorBidi" w:hAnsiTheme="majorBidi" w:cstheme="majorBidi"/>
          <w:sz w:val="24"/>
          <w:szCs w:val="24"/>
        </w:rPr>
        <w:t xml:space="preserve">Plašāka informācija par difteriju un tās profilaksi pieejama Centra tīmekļvietnē: </w:t>
      </w:r>
      <w:hyperlink r:id="rId8">
        <w:r w:rsidR="00941397" w:rsidRPr="5702EC91">
          <w:rPr>
            <w:rStyle w:val="Hyperlink"/>
            <w:rFonts w:asciiTheme="majorBidi" w:hAnsiTheme="majorBidi" w:cstheme="majorBidi"/>
            <w:sz w:val="24"/>
            <w:szCs w:val="24"/>
          </w:rPr>
          <w:t>https://www.spkc.gov.lv/lv/difterija</w:t>
        </w:r>
      </w:hyperlink>
      <w:r w:rsidRPr="5702EC91">
        <w:rPr>
          <w:rFonts w:asciiTheme="majorBidi" w:hAnsiTheme="majorBidi" w:cstheme="majorBidi"/>
          <w:sz w:val="24"/>
          <w:szCs w:val="24"/>
        </w:rPr>
        <w:t>.</w:t>
      </w:r>
    </w:p>
    <w:p w:rsidR="00477923" w:rsidRPr="003F6412" w:rsidRDefault="00000000" w:rsidP="00784C77">
      <w:pPr>
        <w:tabs>
          <w:tab w:val="left" w:pos="6804"/>
        </w:tabs>
        <w:spacing w:before="480" w:after="480"/>
        <w:jc w:val="both"/>
        <w:rPr>
          <w:sz w:val="24"/>
          <w:szCs w:val="24"/>
        </w:rPr>
      </w:pPr>
      <w:r w:rsidRPr="003F6412">
        <w:rPr>
          <w:sz w:val="24"/>
          <w:szCs w:val="24"/>
        </w:rPr>
        <w:t>Direktor</w:t>
      </w:r>
      <w:r w:rsidR="00976513">
        <w:rPr>
          <w:sz w:val="24"/>
          <w:szCs w:val="24"/>
        </w:rPr>
        <w:t xml:space="preserve">a </w:t>
      </w:r>
      <w:proofErr w:type="spellStart"/>
      <w:r w:rsidR="00976513">
        <w:rPr>
          <w:sz w:val="24"/>
          <w:szCs w:val="24"/>
        </w:rPr>
        <w:t>p.i</w:t>
      </w:r>
      <w:proofErr w:type="spellEnd"/>
      <w:r w:rsidR="00976513">
        <w:rPr>
          <w:sz w:val="24"/>
          <w:szCs w:val="24"/>
        </w:rPr>
        <w:t>.</w:t>
      </w:r>
      <w:r w:rsidRPr="003F6412">
        <w:rPr>
          <w:sz w:val="24"/>
          <w:szCs w:val="24"/>
        </w:rPr>
        <w:tab/>
      </w:r>
      <w:r w:rsidRPr="003F6412">
        <w:rPr>
          <w:noProof/>
          <w:sz w:val="24"/>
          <w:szCs w:val="24"/>
          <w:lang w:eastAsia="lv-LV"/>
        </w:rPr>
        <w:t>Dzintars Mozgis</w:t>
      </w:r>
    </w:p>
    <w:p w:rsidR="002079F2" w:rsidRDefault="00000000" w:rsidP="002079F2">
      <w:pPr>
        <w:pStyle w:val="BodyB"/>
        <w:rPr>
          <w:sz w:val="20"/>
        </w:rPr>
      </w:pPr>
      <w:r>
        <w:rPr>
          <w:noProof/>
          <w:sz w:val="20"/>
        </w:rPr>
        <w:t>Linda Krauze</w:t>
      </w:r>
      <w:r>
        <w:rPr>
          <w:sz w:val="20"/>
        </w:rPr>
        <w:t xml:space="preserve"> </w:t>
      </w:r>
      <w:r>
        <w:rPr>
          <w:noProof/>
          <w:sz w:val="20"/>
        </w:rPr>
        <w:t>67387670</w:t>
      </w:r>
    </w:p>
    <w:p w:rsidR="00A91007" w:rsidRPr="00A91007" w:rsidRDefault="00000000" w:rsidP="00477923">
      <w:pPr>
        <w:pStyle w:val="BodyB"/>
      </w:pPr>
      <w:r>
        <w:rPr>
          <w:noProof/>
          <w:sz w:val="20"/>
        </w:rPr>
        <w:t>linda.krauze@spkc.gov.lv</w:t>
      </w:r>
    </w:p>
    <w:sectPr w:rsidR="00A91007" w:rsidRPr="00A91007" w:rsidSect="008C265B">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18DF" w:rsidRDefault="008A18DF">
      <w:r>
        <w:separator/>
      </w:r>
    </w:p>
  </w:endnote>
  <w:endnote w:type="continuationSeparator" w:id="0">
    <w:p w:rsidR="008A18DF" w:rsidRDefault="008A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E4B" w:rsidRDefault="00000000" w:rsidP="00F84E4B">
    <w:pPr>
      <w:pStyle w:val="Footer"/>
      <w:jc w:val="center"/>
    </w:pPr>
    <w:r w:rsidRPr="001B3C4F">
      <w:t>DOKUMENTS PARAKSTĪTS ELEKTRONISKI AR DROŠU ELEKTRONISKO PARAKSTU</w:t>
    </w:r>
  </w:p>
  <w:p w:rsidR="00CD015F" w:rsidRDefault="00000000" w:rsidP="00F84E4B">
    <w:pPr>
      <w:pStyle w:val="Footer"/>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18DF" w:rsidRDefault="008A18DF">
      <w:r>
        <w:separator/>
      </w:r>
    </w:p>
  </w:footnote>
  <w:footnote w:type="continuationSeparator" w:id="0">
    <w:p w:rsidR="008A18DF" w:rsidRDefault="008A18DF">
      <w:r>
        <w:continuationSeparator/>
      </w:r>
    </w:p>
  </w:footnote>
  <w:footnote w:id="1">
    <w:p w:rsidR="00941397" w:rsidRDefault="00000000" w:rsidP="00941397">
      <w:pPr>
        <w:pStyle w:val="FootnoteText"/>
        <w:rPr>
          <w:rFonts w:asciiTheme="majorBidi" w:hAnsiTheme="majorBidi" w:cstheme="majorBidi"/>
        </w:rPr>
      </w:pPr>
      <w:r w:rsidRPr="5702EC91">
        <w:rPr>
          <w:rStyle w:val="FootnoteReference"/>
        </w:rPr>
        <w:footnoteRef/>
      </w:r>
      <w:r>
        <w:t xml:space="preserve"> </w:t>
      </w:r>
      <w:proofErr w:type="spellStart"/>
      <w:r w:rsidRPr="5702EC91">
        <w:rPr>
          <w:rFonts w:ascii="Times New Roman" w:eastAsia="Times New Roman" w:hAnsi="Times New Roman" w:cs="Times New Roman"/>
        </w:rPr>
        <w:t>EpiPulse</w:t>
      </w:r>
      <w:proofErr w:type="spellEnd"/>
      <w:r w:rsidRPr="5702EC91">
        <w:rPr>
          <w:rFonts w:ascii="Times New Roman" w:eastAsia="Times New Roman" w:hAnsi="Times New Roman" w:cs="Times New Roman"/>
        </w:rPr>
        <w:t xml:space="preserve"> ir tiešsaistes portāls </w:t>
      </w:r>
      <w:r w:rsidRPr="5702EC91">
        <w:rPr>
          <w:rFonts w:asciiTheme="majorBidi" w:eastAsia="Times New Roman" w:hAnsiTheme="majorBidi" w:cstheme="majorBidi"/>
        </w:rPr>
        <w:t xml:space="preserve">Eiropas sabiedrības veselības iestādēm un </w:t>
      </w:r>
      <w:proofErr w:type="spellStart"/>
      <w:r w:rsidRPr="5702EC91">
        <w:rPr>
          <w:rFonts w:asciiTheme="majorBidi" w:eastAsia="Times New Roman" w:hAnsiTheme="majorBidi" w:cstheme="majorBidi"/>
        </w:rPr>
        <w:t>partnerorganizācijām</w:t>
      </w:r>
      <w:proofErr w:type="spellEnd"/>
      <w:r w:rsidRPr="5702EC91">
        <w:rPr>
          <w:rFonts w:asciiTheme="majorBidi" w:eastAsia="Times New Roman" w:hAnsiTheme="majorBidi" w:cstheme="majorBidi"/>
        </w:rPr>
        <w:t>, lai vāktu, analizētu, kopīgotu un apspriestu infekcijas slimību datus draudu noteikšanai, uzraudzībai, riska novērtēšanai un uzliesmojumu kontrolei.</w:t>
      </w:r>
    </w:p>
  </w:footnote>
  <w:footnote w:id="2">
    <w:p w:rsidR="00941397" w:rsidRDefault="00000000" w:rsidP="00941397">
      <w:pPr>
        <w:pStyle w:val="FootnoteText"/>
        <w:rPr>
          <w:rFonts w:asciiTheme="majorBidi" w:hAnsiTheme="majorBidi" w:cstheme="majorBidi"/>
        </w:rPr>
      </w:pPr>
      <w:r w:rsidRPr="5702EC91">
        <w:rPr>
          <w:rStyle w:val="FootnoteReference"/>
          <w:rFonts w:asciiTheme="majorBidi" w:hAnsiTheme="majorBidi" w:cstheme="majorBidi"/>
        </w:rPr>
        <w:footnoteRef/>
      </w:r>
      <w:r w:rsidRPr="5702EC91">
        <w:rPr>
          <w:rFonts w:asciiTheme="majorBidi" w:hAnsiTheme="majorBidi" w:cstheme="majorBidi"/>
        </w:rPr>
        <w:t xml:space="preserve"> https://www.ecdc.europa.eu/en/publications-data/rapid-risk-assessment-diphtheria-caused-corynebacterium-diphtheriae-st574-eueea</w:t>
      </w:r>
    </w:p>
  </w:footnote>
  <w:footnote w:id="3">
    <w:p w:rsidR="00941397" w:rsidRDefault="00000000" w:rsidP="00941397">
      <w:pPr>
        <w:pStyle w:val="FootnoteText"/>
        <w:rPr>
          <w:rFonts w:ascii="Times New Roman" w:eastAsia="Times New Roman" w:hAnsi="Times New Roman" w:cs="Times New Roman"/>
        </w:rPr>
      </w:pPr>
      <w:r w:rsidRPr="5702EC91">
        <w:rPr>
          <w:rStyle w:val="FootnoteReference"/>
          <w:rFonts w:ascii="Times New Roman" w:eastAsia="Times New Roman" w:hAnsi="Times New Roman" w:cs="Times New Roman"/>
        </w:rPr>
        <w:footnoteRef/>
      </w:r>
      <w:r w:rsidRPr="5702EC91">
        <w:rPr>
          <w:rFonts w:ascii="Times New Roman" w:eastAsia="Times New Roman" w:hAnsi="Times New Roman" w:cs="Times New Roman"/>
        </w:rPr>
        <w:t xml:space="preserve"> Difterijas gadījumi ir ziņoti Vācijā (292), Francijā (70), Austrijā (65), Beļģijā (43), Nīderlandē (23), Čehijā (14), Norvēģijā (14), Slovākijā (10), Latvijā (7), Itālijā (5), Slovēnijā (4), Spānijā (3), Zviedrijā (3) un Luksemburgā (1). No 554 gadījumiem 497 (90%) bija vīrieši. Gadījumi tika ziņoti visās vecuma grupās, pārsvarā vecumā no 15 līdz 24 gadiem (58%).  </w:t>
      </w:r>
    </w:p>
  </w:footnote>
  <w:footnote w:id="4">
    <w:p w:rsidR="00941397" w:rsidRDefault="00000000" w:rsidP="00941397">
      <w:pPr>
        <w:pStyle w:val="FootnoteText"/>
      </w:pPr>
      <w:r w:rsidRPr="5702EC91">
        <w:rPr>
          <w:rStyle w:val="FootnoteReference"/>
        </w:rPr>
        <w:footnoteRef/>
      </w:r>
      <w:r>
        <w:t xml:space="preserve"> https://likumi.lv/ta/id/332751-sabiedribas-veselibas-pamatnostadnes-2021-2027-gadam</w:t>
      </w:r>
    </w:p>
  </w:footnote>
  <w:footnote w:id="5">
    <w:p w:rsidR="00941397" w:rsidRDefault="00000000" w:rsidP="00941397">
      <w:pPr>
        <w:pStyle w:val="FootnoteText"/>
        <w:rPr>
          <w:rFonts w:ascii="Times New Roman" w:eastAsia="Times New Roman" w:hAnsi="Times New Roman" w:cs="Times New Roman"/>
        </w:rPr>
      </w:pPr>
      <w:r w:rsidRPr="5702EC91">
        <w:rPr>
          <w:rStyle w:val="FootnoteReference"/>
          <w:rFonts w:ascii="Times New Roman" w:eastAsia="Times New Roman" w:hAnsi="Times New Roman" w:cs="Times New Roman"/>
        </w:rPr>
        <w:footnoteRef/>
      </w:r>
      <w:r w:rsidRPr="5702EC91">
        <w:rPr>
          <w:rFonts w:ascii="Times New Roman" w:eastAsia="Times New Roman" w:hAnsi="Times New Roman" w:cs="Times New Roman"/>
        </w:rPr>
        <w:t xml:space="preserve"> Ministru kabineta 2000. gada 26. septembra noteikumu Nr. 330 “Vakcinācijas noteikumi” 1. un 2. pielikums: </w:t>
      </w:r>
      <w:hyperlink r:id="rId1">
        <w:r w:rsidR="00941397" w:rsidRPr="5702EC91">
          <w:rPr>
            <w:rStyle w:val="Hyperlink"/>
            <w:rFonts w:ascii="Times New Roman" w:eastAsia="Times New Roman" w:hAnsi="Times New Roman" w:cs="Times New Roman"/>
          </w:rPr>
          <w:t>Vakcinācijas noteikumi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76723"/>
    <w:multiLevelType w:val="hybridMultilevel"/>
    <w:tmpl w:val="75C4787A"/>
    <w:lvl w:ilvl="0" w:tplc="D608AED6">
      <w:start w:val="1"/>
      <w:numFmt w:val="decimal"/>
      <w:lvlText w:val="%1."/>
      <w:lvlJc w:val="left"/>
      <w:pPr>
        <w:ind w:left="720" w:hanging="360"/>
      </w:pPr>
      <w:rPr>
        <w:rFonts w:hint="default"/>
      </w:rPr>
    </w:lvl>
    <w:lvl w:ilvl="1" w:tplc="B91A93B6">
      <w:start w:val="1"/>
      <w:numFmt w:val="lowerLetter"/>
      <w:lvlText w:val="%2."/>
      <w:lvlJc w:val="left"/>
      <w:pPr>
        <w:ind w:left="1440" w:hanging="360"/>
      </w:pPr>
    </w:lvl>
    <w:lvl w:ilvl="2" w:tplc="17300A6C" w:tentative="1">
      <w:start w:val="1"/>
      <w:numFmt w:val="lowerRoman"/>
      <w:lvlText w:val="%3."/>
      <w:lvlJc w:val="right"/>
      <w:pPr>
        <w:ind w:left="2160" w:hanging="180"/>
      </w:pPr>
    </w:lvl>
    <w:lvl w:ilvl="3" w:tplc="3B1C3294" w:tentative="1">
      <w:start w:val="1"/>
      <w:numFmt w:val="decimal"/>
      <w:lvlText w:val="%4."/>
      <w:lvlJc w:val="left"/>
      <w:pPr>
        <w:ind w:left="2880" w:hanging="360"/>
      </w:pPr>
    </w:lvl>
    <w:lvl w:ilvl="4" w:tplc="E528CAA8" w:tentative="1">
      <w:start w:val="1"/>
      <w:numFmt w:val="lowerLetter"/>
      <w:lvlText w:val="%5."/>
      <w:lvlJc w:val="left"/>
      <w:pPr>
        <w:ind w:left="3600" w:hanging="360"/>
      </w:pPr>
    </w:lvl>
    <w:lvl w:ilvl="5" w:tplc="28720610" w:tentative="1">
      <w:start w:val="1"/>
      <w:numFmt w:val="lowerRoman"/>
      <w:lvlText w:val="%6."/>
      <w:lvlJc w:val="right"/>
      <w:pPr>
        <w:ind w:left="4320" w:hanging="180"/>
      </w:pPr>
    </w:lvl>
    <w:lvl w:ilvl="6" w:tplc="F9B8D546" w:tentative="1">
      <w:start w:val="1"/>
      <w:numFmt w:val="decimal"/>
      <w:lvlText w:val="%7."/>
      <w:lvlJc w:val="left"/>
      <w:pPr>
        <w:ind w:left="5040" w:hanging="360"/>
      </w:pPr>
    </w:lvl>
    <w:lvl w:ilvl="7" w:tplc="8EC21BE2" w:tentative="1">
      <w:start w:val="1"/>
      <w:numFmt w:val="lowerLetter"/>
      <w:lvlText w:val="%8."/>
      <w:lvlJc w:val="left"/>
      <w:pPr>
        <w:ind w:left="5760" w:hanging="360"/>
      </w:pPr>
    </w:lvl>
    <w:lvl w:ilvl="8" w:tplc="32C29DC2" w:tentative="1">
      <w:start w:val="1"/>
      <w:numFmt w:val="lowerRoman"/>
      <w:lvlText w:val="%9."/>
      <w:lvlJc w:val="right"/>
      <w:pPr>
        <w:ind w:left="6480" w:hanging="180"/>
      </w:pPr>
    </w:lvl>
  </w:abstractNum>
  <w:abstractNum w:abstractNumId="1"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7CE88662"/>
    <w:multiLevelType w:val="hybridMultilevel"/>
    <w:tmpl w:val="EFAA08AA"/>
    <w:lvl w:ilvl="0" w:tplc="8DDA533A">
      <w:start w:val="1"/>
      <w:numFmt w:val="decimal"/>
      <w:lvlText w:val="%1."/>
      <w:lvlJc w:val="left"/>
      <w:pPr>
        <w:ind w:left="1080" w:hanging="360"/>
      </w:pPr>
    </w:lvl>
    <w:lvl w:ilvl="1" w:tplc="4712ED8E">
      <w:start w:val="1"/>
      <w:numFmt w:val="lowerLetter"/>
      <w:lvlText w:val="%2."/>
      <w:lvlJc w:val="left"/>
      <w:pPr>
        <w:ind w:left="1800" w:hanging="360"/>
      </w:pPr>
    </w:lvl>
    <w:lvl w:ilvl="2" w:tplc="F76EC400">
      <w:start w:val="1"/>
      <w:numFmt w:val="lowerRoman"/>
      <w:lvlText w:val="%3."/>
      <w:lvlJc w:val="right"/>
      <w:pPr>
        <w:ind w:left="2520" w:hanging="180"/>
      </w:pPr>
    </w:lvl>
    <w:lvl w:ilvl="3" w:tplc="A624538E">
      <w:start w:val="1"/>
      <w:numFmt w:val="decimal"/>
      <w:lvlText w:val="%4."/>
      <w:lvlJc w:val="left"/>
      <w:pPr>
        <w:ind w:left="3240" w:hanging="360"/>
      </w:pPr>
    </w:lvl>
    <w:lvl w:ilvl="4" w:tplc="C6E48D8A">
      <w:start w:val="1"/>
      <w:numFmt w:val="lowerLetter"/>
      <w:lvlText w:val="%5."/>
      <w:lvlJc w:val="left"/>
      <w:pPr>
        <w:ind w:left="3960" w:hanging="360"/>
      </w:pPr>
    </w:lvl>
    <w:lvl w:ilvl="5" w:tplc="6D8CF482">
      <w:start w:val="1"/>
      <w:numFmt w:val="lowerRoman"/>
      <w:lvlText w:val="%6."/>
      <w:lvlJc w:val="right"/>
      <w:pPr>
        <w:ind w:left="4680" w:hanging="180"/>
      </w:pPr>
    </w:lvl>
    <w:lvl w:ilvl="6" w:tplc="C28E4530">
      <w:start w:val="1"/>
      <w:numFmt w:val="decimal"/>
      <w:lvlText w:val="%7."/>
      <w:lvlJc w:val="left"/>
      <w:pPr>
        <w:ind w:left="5400" w:hanging="360"/>
      </w:pPr>
    </w:lvl>
    <w:lvl w:ilvl="7" w:tplc="9D4CFBE0">
      <w:start w:val="1"/>
      <w:numFmt w:val="lowerLetter"/>
      <w:lvlText w:val="%8."/>
      <w:lvlJc w:val="left"/>
      <w:pPr>
        <w:ind w:left="6120" w:hanging="360"/>
      </w:pPr>
    </w:lvl>
    <w:lvl w:ilvl="8" w:tplc="76E6D3B6">
      <w:start w:val="1"/>
      <w:numFmt w:val="lowerRoman"/>
      <w:lvlText w:val="%9."/>
      <w:lvlJc w:val="right"/>
      <w:pPr>
        <w:ind w:left="6840" w:hanging="180"/>
      </w:pPr>
    </w:lvl>
  </w:abstractNum>
  <w:num w:numId="1" w16cid:durableId="960722276">
    <w:abstractNumId w:val="0"/>
  </w:num>
  <w:num w:numId="2" w16cid:durableId="619871805">
    <w:abstractNumId w:val="1"/>
  </w:num>
  <w:num w:numId="3" w16cid:durableId="432478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CC"/>
    <w:rsid w:val="00020179"/>
    <w:rsid w:val="000D65D1"/>
    <w:rsid w:val="00112C48"/>
    <w:rsid w:val="00140CC7"/>
    <w:rsid w:val="00154B6E"/>
    <w:rsid w:val="00172A3B"/>
    <w:rsid w:val="00195A3A"/>
    <w:rsid w:val="001963C5"/>
    <w:rsid w:val="001B3C4F"/>
    <w:rsid w:val="001F3DE1"/>
    <w:rsid w:val="002079F2"/>
    <w:rsid w:val="00222B8B"/>
    <w:rsid w:val="00237C47"/>
    <w:rsid w:val="00247E9C"/>
    <w:rsid w:val="00255FB5"/>
    <w:rsid w:val="00280BAC"/>
    <w:rsid w:val="00376EF5"/>
    <w:rsid w:val="003A5E2C"/>
    <w:rsid w:val="003E7BBE"/>
    <w:rsid w:val="003F2940"/>
    <w:rsid w:val="003F6412"/>
    <w:rsid w:val="00415D28"/>
    <w:rsid w:val="00443D6E"/>
    <w:rsid w:val="004568DF"/>
    <w:rsid w:val="00456D43"/>
    <w:rsid w:val="00477923"/>
    <w:rsid w:val="00480BD0"/>
    <w:rsid w:val="004A063D"/>
    <w:rsid w:val="00505CA0"/>
    <w:rsid w:val="005249D9"/>
    <w:rsid w:val="0055269A"/>
    <w:rsid w:val="005603D1"/>
    <w:rsid w:val="00587CC8"/>
    <w:rsid w:val="005D3E87"/>
    <w:rsid w:val="006576BE"/>
    <w:rsid w:val="006765DF"/>
    <w:rsid w:val="006A3E8D"/>
    <w:rsid w:val="006D3FD6"/>
    <w:rsid w:val="007322A6"/>
    <w:rsid w:val="00751D91"/>
    <w:rsid w:val="00784C77"/>
    <w:rsid w:val="007906BB"/>
    <w:rsid w:val="007D0939"/>
    <w:rsid w:val="007E1410"/>
    <w:rsid w:val="00837FCF"/>
    <w:rsid w:val="00847171"/>
    <w:rsid w:val="008708D7"/>
    <w:rsid w:val="00893003"/>
    <w:rsid w:val="008A11C6"/>
    <w:rsid w:val="008A18DF"/>
    <w:rsid w:val="008B15BC"/>
    <w:rsid w:val="008B6D06"/>
    <w:rsid w:val="008B742D"/>
    <w:rsid w:val="008C265B"/>
    <w:rsid w:val="00941397"/>
    <w:rsid w:val="00976513"/>
    <w:rsid w:val="00987215"/>
    <w:rsid w:val="00994AA3"/>
    <w:rsid w:val="009E26F3"/>
    <w:rsid w:val="00A23AAC"/>
    <w:rsid w:val="00A24A6B"/>
    <w:rsid w:val="00A277B8"/>
    <w:rsid w:val="00A91007"/>
    <w:rsid w:val="00B05611"/>
    <w:rsid w:val="00B16961"/>
    <w:rsid w:val="00B86B76"/>
    <w:rsid w:val="00BE7124"/>
    <w:rsid w:val="00BF3D96"/>
    <w:rsid w:val="00C12D6E"/>
    <w:rsid w:val="00C4438A"/>
    <w:rsid w:val="00C47226"/>
    <w:rsid w:val="00C92245"/>
    <w:rsid w:val="00CA27BF"/>
    <w:rsid w:val="00CB2202"/>
    <w:rsid w:val="00CB77F0"/>
    <w:rsid w:val="00CC1A82"/>
    <w:rsid w:val="00CC4F90"/>
    <w:rsid w:val="00CD015F"/>
    <w:rsid w:val="00D5053F"/>
    <w:rsid w:val="00D831E1"/>
    <w:rsid w:val="00D92D62"/>
    <w:rsid w:val="00DC0153"/>
    <w:rsid w:val="00DC1881"/>
    <w:rsid w:val="00DE33E0"/>
    <w:rsid w:val="00E029CF"/>
    <w:rsid w:val="00E10BEB"/>
    <w:rsid w:val="00E33119"/>
    <w:rsid w:val="00E402D8"/>
    <w:rsid w:val="00E46716"/>
    <w:rsid w:val="00E46A48"/>
    <w:rsid w:val="00E55896"/>
    <w:rsid w:val="00E76B07"/>
    <w:rsid w:val="00E92ACC"/>
    <w:rsid w:val="00EC6B3B"/>
    <w:rsid w:val="00EE4551"/>
    <w:rsid w:val="00EE7EE5"/>
    <w:rsid w:val="00F84E4B"/>
    <w:rsid w:val="00FB54D0"/>
    <w:rsid w:val="00FBFB03"/>
    <w:rsid w:val="00FE4CB2"/>
    <w:rsid w:val="5702EC9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5E51F"/>
  <w15:chartTrackingRefBased/>
  <w15:docId w15:val="{457F659D-D5EA-4E30-BD39-445F2339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Heading1Char"/>
    <w:uiPriority w:val="9"/>
    <w:qFormat/>
    <w:rsid w:val="00994AA3"/>
    <w:pPr>
      <w:keepNext/>
      <w:jc w:val="center"/>
      <w:outlineLvl w:val="0"/>
    </w:pPr>
    <w:rPr>
      <w:b/>
      <w:bCs/>
    </w:rPr>
  </w:style>
  <w:style w:type="paragraph" w:styleId="Heading2">
    <w:name w:val="heading 2"/>
    <w:basedOn w:val="Normal"/>
    <w:next w:val="Normal"/>
    <w:link w:val="Heading2Char"/>
    <w:qFormat/>
    <w:rsid w:val="00994AA3"/>
    <w:pPr>
      <w:keepNext/>
      <w:tabs>
        <w:tab w:val="num" w:pos="495"/>
      </w:tabs>
      <w:ind w:left="495" w:hanging="495"/>
      <w:outlineLvl w:val="1"/>
    </w:pPr>
    <w:rPr>
      <w:b/>
    </w:rPr>
  </w:style>
  <w:style w:type="paragraph" w:styleId="Heading3">
    <w:name w:val="heading 3"/>
    <w:basedOn w:val="Normal"/>
    <w:next w:val="Normal"/>
    <w:link w:val="Heading3Char"/>
    <w:qFormat/>
    <w:rsid w:val="00994AA3"/>
    <w:pPr>
      <w:keepNext/>
      <w:outlineLvl w:val="2"/>
    </w:pPr>
    <w:rPr>
      <w:b/>
      <w:color w:val="FF0000"/>
      <w:sz w:val="44"/>
    </w:rPr>
  </w:style>
  <w:style w:type="paragraph" w:styleId="Heading4">
    <w:name w:val="heading 4"/>
    <w:basedOn w:val="Normal"/>
    <w:link w:val="Heading4Char"/>
    <w:uiPriority w:val="9"/>
    <w:qFormat/>
    <w:rsid w:val="00994AA3"/>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AA3"/>
    <w:rPr>
      <w:b/>
      <w:bCs/>
      <w:sz w:val="24"/>
      <w:szCs w:val="24"/>
    </w:rPr>
  </w:style>
  <w:style w:type="character" w:customStyle="1" w:styleId="Heading2Char">
    <w:name w:val="Heading 2 Char"/>
    <w:link w:val="Heading2"/>
    <w:rsid w:val="00994AA3"/>
    <w:rPr>
      <w:b/>
      <w:sz w:val="24"/>
    </w:rPr>
  </w:style>
  <w:style w:type="character" w:customStyle="1" w:styleId="Heading3Char">
    <w:name w:val="Heading 3 Char"/>
    <w:link w:val="Heading3"/>
    <w:rsid w:val="00994AA3"/>
    <w:rPr>
      <w:b/>
      <w:color w:val="FF0000"/>
      <w:sz w:val="44"/>
    </w:rPr>
  </w:style>
  <w:style w:type="character" w:customStyle="1" w:styleId="Heading4Char">
    <w:name w:val="Heading 4 Char"/>
    <w:link w:val="Heading4"/>
    <w:uiPriority w:val="9"/>
    <w:rsid w:val="00994AA3"/>
    <w:rPr>
      <w:b/>
      <w:bCs/>
      <w:sz w:val="24"/>
      <w:szCs w:val="24"/>
    </w:rPr>
  </w:style>
  <w:style w:type="character" w:customStyle="1" w:styleId="Heading5Char">
    <w:name w:val="Heading 5 Char"/>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994AA3"/>
    <w:rPr>
      <w:i/>
      <w:sz w:val="28"/>
      <w:szCs w:val="28"/>
    </w:rPr>
  </w:style>
  <w:style w:type="character" w:customStyle="1" w:styleId="QuoteChar">
    <w:name w:val="Quote Char"/>
    <w:link w:val="Quote"/>
    <w:uiPriority w:val="29"/>
    <w:rsid w:val="00994AA3"/>
    <w:rPr>
      <w:i/>
      <w:sz w:val="28"/>
      <w:szCs w:val="28"/>
    </w:rPr>
  </w:style>
  <w:style w:type="paragraph" w:styleId="Header">
    <w:name w:val="header"/>
    <w:basedOn w:val="Normal"/>
    <w:link w:val="HeaderChar"/>
    <w:rsid w:val="00A24A6B"/>
    <w:pPr>
      <w:tabs>
        <w:tab w:val="center" w:pos="4320"/>
        <w:tab w:val="right" w:pos="8640"/>
      </w:tabs>
    </w:pPr>
    <w:rPr>
      <w:rFonts w:ascii="Arial" w:hAnsi="Arial"/>
      <w:sz w:val="24"/>
    </w:rPr>
  </w:style>
  <w:style w:type="character" w:customStyle="1" w:styleId="HeaderChar">
    <w:name w:val="Header Char"/>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015F"/>
    <w:pPr>
      <w:tabs>
        <w:tab w:val="center" w:pos="4153"/>
        <w:tab w:val="right" w:pos="8306"/>
      </w:tabs>
    </w:pPr>
  </w:style>
  <w:style w:type="character" w:customStyle="1" w:styleId="FooterChar">
    <w:name w:val="Footer Char"/>
    <w:link w:val="Footer"/>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rmaltextrun">
    <w:name w:val="normaltextrun"/>
    <w:basedOn w:val="DefaultParagraphFont"/>
    <w:rsid w:val="00941397"/>
  </w:style>
  <w:style w:type="paragraph" w:styleId="FootnoteText">
    <w:name w:val="footnote text"/>
    <w:basedOn w:val="Normal"/>
    <w:link w:val="FootnoteTextChar"/>
    <w:uiPriority w:val="99"/>
    <w:semiHidden/>
    <w:unhideWhenUsed/>
    <w:rsid w:val="00941397"/>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941397"/>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41397"/>
    <w:rPr>
      <w:vertAlign w:val="superscript"/>
    </w:rPr>
  </w:style>
  <w:style w:type="character" w:styleId="Hyperlink">
    <w:name w:val="Hyperlink"/>
    <w:basedOn w:val="DefaultParagraphFont"/>
    <w:uiPriority w:val="99"/>
    <w:unhideWhenUsed/>
    <w:rsid w:val="0094139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difterij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doc.php?id=112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4_vestule_elektroniskais_paraksts_valsts_valoda_pilnkrasu</Template>
  <TotalTime>0</TotalTime>
  <Pages>1</Pages>
  <Words>3656</Words>
  <Characters>2085</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Eleonora Taube</cp:lastModifiedBy>
  <cp:revision>1</cp:revision>
  <cp:lastPrinted>2016-02-15T06:53:00Z</cp:lastPrinted>
  <dcterms:created xsi:type="dcterms:W3CDTF">2025-12-01T14:38:00Z</dcterms:created>
  <dcterms:modified xsi:type="dcterms:W3CDTF">2025-12-01T14:38:00Z</dcterms:modified>
</cp:coreProperties>
</file>