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4BE3" w14:textId="0879ADC3" w:rsidR="00191876" w:rsidRPr="00543BB7" w:rsidRDefault="00BF4220" w:rsidP="00AE24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3BB7">
        <w:rPr>
          <w:rFonts w:ascii="Times New Roman" w:hAnsi="Times New Roman" w:cs="Times New Roman"/>
          <w:b/>
          <w:bCs/>
          <w:sz w:val="24"/>
          <w:szCs w:val="24"/>
        </w:rPr>
        <w:t>Ultomiris</w:t>
      </w:r>
      <w:proofErr w:type="spellEnd"/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43BB7">
        <w:rPr>
          <w:rFonts w:ascii="Times New Roman" w:hAnsi="Times New Roman" w:cs="Times New Roman"/>
          <w:b/>
          <w:bCs/>
          <w:sz w:val="24"/>
          <w:szCs w:val="24"/>
        </w:rPr>
        <w:t>Ravulizumabum</w:t>
      </w:r>
      <w:proofErr w:type="spellEnd"/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) terapijas uzsākšanas un </w:t>
      </w:r>
      <w:r w:rsidR="00AE2490">
        <w:rPr>
          <w:rFonts w:ascii="Times New Roman" w:hAnsi="Times New Roman" w:cs="Times New Roman"/>
          <w:b/>
          <w:bCs/>
          <w:sz w:val="24"/>
          <w:szCs w:val="24"/>
        </w:rPr>
        <w:t>atcelšanas</w:t>
      </w:r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 kritēriji pacientiem ar </w:t>
      </w:r>
      <w:proofErr w:type="spellStart"/>
      <w:r w:rsidRPr="00543BB7">
        <w:rPr>
          <w:rFonts w:ascii="Times New Roman" w:hAnsi="Times New Roman" w:cs="Times New Roman"/>
          <w:b/>
          <w:bCs/>
          <w:sz w:val="24"/>
          <w:szCs w:val="24"/>
        </w:rPr>
        <w:t>atipisku</w:t>
      </w:r>
      <w:proofErr w:type="spellEnd"/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 jeb komplementa </w:t>
      </w:r>
      <w:proofErr w:type="spellStart"/>
      <w:r w:rsidRPr="00543BB7">
        <w:rPr>
          <w:rFonts w:ascii="Times New Roman" w:hAnsi="Times New Roman" w:cs="Times New Roman"/>
          <w:b/>
          <w:bCs/>
          <w:sz w:val="24"/>
          <w:szCs w:val="24"/>
        </w:rPr>
        <w:t>mediētu</w:t>
      </w:r>
      <w:proofErr w:type="spellEnd"/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BB7">
        <w:rPr>
          <w:rFonts w:ascii="Times New Roman" w:hAnsi="Times New Roman" w:cs="Times New Roman"/>
          <w:b/>
          <w:bCs/>
          <w:sz w:val="24"/>
          <w:szCs w:val="24"/>
        </w:rPr>
        <w:t>hemolītiski</w:t>
      </w:r>
      <w:proofErr w:type="spellEnd"/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BB7">
        <w:rPr>
          <w:rFonts w:ascii="Times New Roman" w:hAnsi="Times New Roman" w:cs="Times New Roman"/>
          <w:b/>
          <w:bCs/>
          <w:sz w:val="24"/>
          <w:szCs w:val="24"/>
        </w:rPr>
        <w:t>urēmisko</w:t>
      </w:r>
      <w:proofErr w:type="spellEnd"/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 sindromu</w:t>
      </w:r>
    </w:p>
    <w:p w14:paraId="470D063F" w14:textId="2BB9EC67" w:rsidR="00BF4220" w:rsidRPr="00AC24B7" w:rsidRDefault="00BF4220" w:rsidP="00AC24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ir </w:t>
      </w:r>
      <w:r w:rsidR="00AE2490" w:rsidRPr="00AC24B7">
        <w:rPr>
          <w:rFonts w:ascii="Times New Roman" w:hAnsi="Times New Roman" w:cs="Times New Roman"/>
          <w:sz w:val="24"/>
          <w:szCs w:val="24"/>
        </w:rPr>
        <w:t xml:space="preserve">ilgstošas darbības </w:t>
      </w:r>
      <w:r w:rsidRPr="00AC24B7">
        <w:rPr>
          <w:rFonts w:ascii="Times New Roman" w:hAnsi="Times New Roman" w:cs="Times New Roman"/>
          <w:sz w:val="24"/>
          <w:szCs w:val="24"/>
        </w:rPr>
        <w:t xml:space="preserve">humanizēta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monoklonāla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antiviela pret komplementa faktoru C5, kas bloķē komplementa aktivāciju (novērš C5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konvertāzes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aktivāciju). </w:t>
      </w: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saistās ar komplementa proteīnu C5, bloķējot tā šķelšanos, tādējādi novēršot terminālā komplementa komponentu C5a un membrānas uzbrukuma kompleksa (MAC) C5b-9 veidošanos. Tā rezultātā komplementa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mediēta</w:t>
      </w:r>
      <w:r w:rsidR="00D95CE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</w:t>
      </w:r>
      <w:r w:rsidR="00D95CEF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mikroangiopātija</w:t>
      </w:r>
      <w:r w:rsidR="00D95CE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jeb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atipiska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hemolītiska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urēmiska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sindroma (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) gadījumā tiek samazināta terminālā komplementa aktivācija,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endotēlija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bojājum</w:t>
      </w:r>
      <w:r w:rsidR="00D95CEF">
        <w:rPr>
          <w:rFonts w:ascii="Times New Roman" w:hAnsi="Times New Roman" w:cs="Times New Roman"/>
          <w:sz w:val="24"/>
          <w:szCs w:val="24"/>
        </w:rPr>
        <w:t>s,</w:t>
      </w:r>
      <w:r w:rsidRPr="00AC24B7">
        <w:rPr>
          <w:rFonts w:ascii="Times New Roman" w:hAnsi="Times New Roman" w:cs="Times New Roman"/>
          <w:sz w:val="24"/>
          <w:szCs w:val="24"/>
        </w:rPr>
        <w:t xml:space="preserve"> trombožu veidošanās un sekojošs nieru </w:t>
      </w:r>
      <w:r w:rsidR="00D95CEF">
        <w:rPr>
          <w:rFonts w:ascii="Times New Roman" w:hAnsi="Times New Roman" w:cs="Times New Roman"/>
          <w:sz w:val="24"/>
          <w:szCs w:val="24"/>
        </w:rPr>
        <w:t xml:space="preserve">un citu orgānu </w:t>
      </w:r>
      <w:r w:rsidRPr="00AC24B7">
        <w:rPr>
          <w:rFonts w:ascii="Times New Roman" w:hAnsi="Times New Roman" w:cs="Times New Roman"/>
          <w:sz w:val="24"/>
          <w:szCs w:val="24"/>
        </w:rPr>
        <w:t xml:space="preserve">bojājums. </w:t>
      </w:r>
    </w:p>
    <w:p w14:paraId="39824A6A" w14:textId="358C81CE" w:rsidR="00BF4220" w:rsidRPr="00AC24B7" w:rsidRDefault="00BF4220" w:rsidP="00AC24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ir rekomendēts kā pirmās izvēles medikaments pacientiem ar </w:t>
      </w:r>
      <w:r w:rsidR="00D95CEF">
        <w:rPr>
          <w:rFonts w:ascii="Times New Roman" w:hAnsi="Times New Roman" w:cs="Times New Roman"/>
          <w:sz w:val="24"/>
          <w:szCs w:val="24"/>
        </w:rPr>
        <w:t xml:space="preserve">dokumentētu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, kuru </w:t>
      </w:r>
      <w:r w:rsidR="00D95CEF">
        <w:rPr>
          <w:rFonts w:ascii="Times New Roman" w:hAnsi="Times New Roman" w:cs="Times New Roman"/>
          <w:sz w:val="24"/>
          <w:szCs w:val="24"/>
        </w:rPr>
        <w:t xml:space="preserve">var būt vai var nebūt </w:t>
      </w:r>
      <w:r w:rsidRPr="00AC24B7">
        <w:rPr>
          <w:rFonts w:ascii="Times New Roman" w:hAnsi="Times New Roman" w:cs="Times New Roman"/>
          <w:sz w:val="24"/>
          <w:szCs w:val="24"/>
        </w:rPr>
        <w:t>izrais</w:t>
      </w:r>
      <w:r w:rsidR="00D95CEF">
        <w:rPr>
          <w:rFonts w:ascii="Times New Roman" w:hAnsi="Times New Roman" w:cs="Times New Roman"/>
          <w:sz w:val="24"/>
          <w:szCs w:val="24"/>
        </w:rPr>
        <w:t>ījis</w:t>
      </w:r>
      <w:r w:rsidRPr="00AC24B7">
        <w:rPr>
          <w:rFonts w:ascii="Times New Roman" w:hAnsi="Times New Roman" w:cs="Times New Roman"/>
          <w:sz w:val="24"/>
          <w:szCs w:val="24"/>
        </w:rPr>
        <w:t xml:space="preserve"> komplementa proteīnu ģenētisks defekts vai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autoantivielas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pret komplementa faktoru H. </w:t>
      </w:r>
    </w:p>
    <w:p w14:paraId="0836C30D" w14:textId="7A25988A" w:rsidR="00BF4220" w:rsidRPr="00AC24B7" w:rsidRDefault="00C819FD" w:rsidP="00AC24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viens 3 ml flakons satur 300 mg </w:t>
      </w: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(100 mg/ml)</w:t>
      </w:r>
      <w:r w:rsidR="0030336C" w:rsidRPr="00AC24B7">
        <w:rPr>
          <w:rFonts w:ascii="Times New Roman" w:hAnsi="Times New Roman" w:cs="Times New Roman"/>
          <w:sz w:val="24"/>
          <w:szCs w:val="24"/>
        </w:rPr>
        <w:t xml:space="preserve"> un katrs 11 ml flakons satur 1100 mg </w:t>
      </w:r>
      <w:proofErr w:type="spellStart"/>
      <w:r w:rsidR="0030336C"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="0030336C" w:rsidRPr="00AC24B7">
        <w:rPr>
          <w:rFonts w:ascii="Times New Roman" w:hAnsi="Times New Roman" w:cs="Times New Roman"/>
          <w:sz w:val="24"/>
          <w:szCs w:val="24"/>
        </w:rPr>
        <w:t xml:space="preserve"> (100 mg/ml)</w:t>
      </w:r>
      <w:r w:rsidRPr="00AC24B7">
        <w:rPr>
          <w:rFonts w:ascii="Times New Roman" w:hAnsi="Times New Roman" w:cs="Times New Roman"/>
          <w:sz w:val="24"/>
          <w:szCs w:val="24"/>
        </w:rPr>
        <w:t xml:space="preserve">, to ievada intravenozas infūzijas veidā. </w:t>
      </w:r>
      <w:r w:rsidR="00FF2FFF" w:rsidRPr="00AC24B7">
        <w:rPr>
          <w:rFonts w:ascii="Times New Roman" w:hAnsi="Times New Roman" w:cs="Times New Roman"/>
          <w:sz w:val="24"/>
          <w:szCs w:val="24"/>
        </w:rPr>
        <w:t xml:space="preserve">Ieteicamā dozēšanas shēma ir piesātinošā deva un pēc tam </w:t>
      </w:r>
      <w:proofErr w:type="spellStart"/>
      <w:r w:rsidR="00FF2FFF" w:rsidRPr="00AC24B7">
        <w:rPr>
          <w:rFonts w:ascii="Times New Roman" w:hAnsi="Times New Roman" w:cs="Times New Roman"/>
          <w:sz w:val="24"/>
          <w:szCs w:val="24"/>
        </w:rPr>
        <w:t>balstdevas</w:t>
      </w:r>
      <w:proofErr w:type="spellEnd"/>
      <w:r w:rsidR="00FF2FFF" w:rsidRPr="00AC24B7">
        <w:rPr>
          <w:rFonts w:ascii="Times New Roman" w:hAnsi="Times New Roman" w:cs="Times New Roman"/>
          <w:sz w:val="24"/>
          <w:szCs w:val="24"/>
        </w:rPr>
        <w:t>. Pieaugušiem pacientiem (vecums ≥ 18 gadi</w:t>
      </w:r>
      <w:r w:rsidR="00D95CEF">
        <w:rPr>
          <w:rFonts w:ascii="Times New Roman" w:hAnsi="Times New Roman" w:cs="Times New Roman"/>
          <w:sz w:val="24"/>
          <w:szCs w:val="24"/>
        </w:rPr>
        <w:t xml:space="preserve"> ar ķermeņa masu virs 40 kg</w:t>
      </w:r>
      <w:r w:rsidR="00FF2FFF" w:rsidRPr="00AC24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F2FFF" w:rsidRPr="00AC24B7">
        <w:rPr>
          <w:rFonts w:ascii="Times New Roman" w:hAnsi="Times New Roman" w:cs="Times New Roman"/>
          <w:sz w:val="24"/>
          <w:szCs w:val="24"/>
        </w:rPr>
        <w:t>balstdevas</w:t>
      </w:r>
      <w:proofErr w:type="spellEnd"/>
      <w:r w:rsidR="00FF2FFF" w:rsidRPr="00AC24B7">
        <w:rPr>
          <w:rFonts w:ascii="Times New Roman" w:hAnsi="Times New Roman" w:cs="Times New Roman"/>
          <w:sz w:val="24"/>
          <w:szCs w:val="24"/>
        </w:rPr>
        <w:t xml:space="preserve"> jāievada vienreiz ik pēc 8 nedēļām, sākot 2 nedēļas pēc piesātinošās devas ievadīšanas: </w:t>
      </w:r>
    </w:p>
    <w:p w14:paraId="71FC59E6" w14:textId="3C6A934E" w:rsidR="00FF2FFF" w:rsidRPr="00AC24B7" w:rsidRDefault="00FF2FFF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</w:rPr>
        <w:t>Ravulizumab</w:t>
      </w:r>
      <w:r w:rsidR="00A81AFA" w:rsidRPr="00AC24B7">
        <w:rPr>
          <w:rFonts w:ascii="Times New Roman" w:hAnsi="Times New Roman" w:cs="Times New Roman"/>
          <w:b/>
          <w:bCs/>
          <w:sz w:val="24"/>
          <w:szCs w:val="24"/>
        </w:rPr>
        <w:t>um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</w:rPr>
        <w:t xml:space="preserve"> dozēšanas režīms atbilstoši ķermeņa masai pacientiem ar ķermeņa masu vismaz 40 kg: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F2FFF" w:rsidRPr="00AC24B7" w14:paraId="318537B4" w14:textId="77777777" w:rsidTr="00FF2FFF">
        <w:tc>
          <w:tcPr>
            <w:tcW w:w="2074" w:type="dxa"/>
          </w:tcPr>
          <w:p w14:paraId="4E575D1C" w14:textId="48DBE8B7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Ķermeņa masas intervāls</w:t>
            </w:r>
          </w:p>
          <w:p w14:paraId="11C70120" w14:textId="089BD9F6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(kg)</w:t>
            </w:r>
          </w:p>
        </w:tc>
        <w:tc>
          <w:tcPr>
            <w:tcW w:w="2074" w:type="dxa"/>
          </w:tcPr>
          <w:p w14:paraId="1A82DBF4" w14:textId="2B098EB1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Piesātinošā deva (mg)</w:t>
            </w:r>
          </w:p>
        </w:tc>
        <w:tc>
          <w:tcPr>
            <w:tcW w:w="2074" w:type="dxa"/>
          </w:tcPr>
          <w:p w14:paraId="293CE361" w14:textId="377B9870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Balstdeva</w:t>
            </w:r>
            <w:proofErr w:type="spellEnd"/>
            <w:r w:rsidRPr="00AC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(mg)*</w:t>
            </w:r>
          </w:p>
        </w:tc>
        <w:tc>
          <w:tcPr>
            <w:tcW w:w="2074" w:type="dxa"/>
          </w:tcPr>
          <w:p w14:paraId="1FEBBB82" w14:textId="1C74592D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Devu ievadīšanas intervāls</w:t>
            </w:r>
          </w:p>
        </w:tc>
      </w:tr>
      <w:tr w:rsidR="00FF2FFF" w:rsidRPr="00AC24B7" w14:paraId="7E5D552D" w14:textId="77777777" w:rsidTr="00FF2FFF">
        <w:tc>
          <w:tcPr>
            <w:tcW w:w="2074" w:type="dxa"/>
          </w:tcPr>
          <w:p w14:paraId="5EB6C72F" w14:textId="5CF04A2E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no ≥40 līdz &lt; 60</w:t>
            </w:r>
          </w:p>
        </w:tc>
        <w:tc>
          <w:tcPr>
            <w:tcW w:w="2074" w:type="dxa"/>
          </w:tcPr>
          <w:p w14:paraId="25044B44" w14:textId="1C04F402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2074" w:type="dxa"/>
          </w:tcPr>
          <w:p w14:paraId="30C8267A" w14:textId="698F8D7D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074" w:type="dxa"/>
          </w:tcPr>
          <w:p w14:paraId="0978E7B2" w14:textId="37AD2DC1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Ik pēc 8 nedēļām</w:t>
            </w:r>
          </w:p>
        </w:tc>
      </w:tr>
      <w:tr w:rsidR="00FF2FFF" w:rsidRPr="00AC24B7" w14:paraId="78E7FACB" w14:textId="77777777" w:rsidTr="00FF2FFF">
        <w:tc>
          <w:tcPr>
            <w:tcW w:w="2074" w:type="dxa"/>
          </w:tcPr>
          <w:p w14:paraId="5D99A46B" w14:textId="052BE111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no ≥ 60 līdz &lt; 100</w:t>
            </w:r>
          </w:p>
        </w:tc>
        <w:tc>
          <w:tcPr>
            <w:tcW w:w="2074" w:type="dxa"/>
          </w:tcPr>
          <w:p w14:paraId="6A458D7C" w14:textId="2D9728F7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2074" w:type="dxa"/>
          </w:tcPr>
          <w:p w14:paraId="0951CE7A" w14:textId="57ADCCB1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2074" w:type="dxa"/>
          </w:tcPr>
          <w:p w14:paraId="226ADE89" w14:textId="09C12506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Ik pēc 8 nedēļām</w:t>
            </w:r>
          </w:p>
        </w:tc>
      </w:tr>
      <w:tr w:rsidR="00FF2FFF" w:rsidRPr="00AC24B7" w14:paraId="0F0D9986" w14:textId="77777777" w:rsidTr="00FF2FFF">
        <w:tc>
          <w:tcPr>
            <w:tcW w:w="2074" w:type="dxa"/>
          </w:tcPr>
          <w:p w14:paraId="768D3375" w14:textId="2E479E33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≥ 100</w:t>
            </w:r>
          </w:p>
        </w:tc>
        <w:tc>
          <w:tcPr>
            <w:tcW w:w="2074" w:type="dxa"/>
          </w:tcPr>
          <w:p w14:paraId="21FBF722" w14:textId="452D14B1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074" w:type="dxa"/>
          </w:tcPr>
          <w:p w14:paraId="5A448EEB" w14:textId="47CC7284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2074" w:type="dxa"/>
          </w:tcPr>
          <w:p w14:paraId="132BB6B9" w14:textId="51B61DD6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Ik pēc 8 nedēļām</w:t>
            </w:r>
          </w:p>
        </w:tc>
      </w:tr>
    </w:tbl>
    <w:p w14:paraId="7D7827AB" w14:textId="7933E093" w:rsidR="00FF2FFF" w:rsidRPr="00AC24B7" w:rsidRDefault="00FF2FFF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* Pirmo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balstdevu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ievada 2 nedēļas pēc piesātinošās devas ievadīšanas.</w:t>
      </w:r>
    </w:p>
    <w:p w14:paraId="562A9A05" w14:textId="3377FC5C" w:rsidR="00ED73B6" w:rsidRPr="00AC24B7" w:rsidRDefault="00A81AFA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Ravulizumabum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terapijas uzsākšanas kritēriji:</w:t>
      </w:r>
    </w:p>
    <w:p w14:paraId="01E0FE19" w14:textId="66F60FE1" w:rsidR="00A81AFA" w:rsidRDefault="005A1BE7" w:rsidP="00AC24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acientiem</w:t>
      </w:r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r w:rsidR="00001203" w:rsidRPr="00AC24B7">
        <w:rPr>
          <w:rFonts w:ascii="Times New Roman" w:hAnsi="Times New Roman" w:cs="Times New Roman"/>
          <w:sz w:val="24"/>
          <w:szCs w:val="24"/>
        </w:rPr>
        <w:t xml:space="preserve">ar </w:t>
      </w:r>
      <w:proofErr w:type="spellStart"/>
      <w:r w:rsidR="00A81AFA"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="00D95CEF">
        <w:rPr>
          <w:rFonts w:ascii="Times New Roman" w:hAnsi="Times New Roman" w:cs="Times New Roman"/>
          <w:sz w:val="24"/>
          <w:szCs w:val="24"/>
        </w:rPr>
        <w:t xml:space="preserve"> un</w:t>
      </w:r>
      <w:r w:rsidR="00A81AFA" w:rsidRPr="00AC24B7">
        <w:rPr>
          <w:rFonts w:ascii="Times New Roman" w:hAnsi="Times New Roman" w:cs="Times New Roman"/>
          <w:sz w:val="24"/>
          <w:szCs w:val="24"/>
        </w:rPr>
        <w:t xml:space="preserve"> svaru virs 40kg, kur</w:t>
      </w:r>
      <w:r w:rsidR="00001203" w:rsidRPr="00AC24B7">
        <w:rPr>
          <w:rFonts w:ascii="Times New Roman" w:hAnsi="Times New Roman" w:cs="Times New Roman"/>
          <w:sz w:val="24"/>
          <w:szCs w:val="24"/>
        </w:rPr>
        <w:t>iem</w:t>
      </w:r>
      <w:r w:rsidR="00A81AFA" w:rsidRPr="00AC24B7">
        <w:rPr>
          <w:rFonts w:ascii="Times New Roman" w:hAnsi="Times New Roman" w:cs="Times New Roman"/>
          <w:sz w:val="24"/>
          <w:szCs w:val="24"/>
        </w:rPr>
        <w:t xml:space="preserve"> diagnoze pamatota klīniski</w:t>
      </w:r>
      <w:r w:rsidR="0030336C" w:rsidRPr="00AC24B7">
        <w:rPr>
          <w:rFonts w:ascii="Times New Roman" w:hAnsi="Times New Roman" w:cs="Times New Roman"/>
          <w:sz w:val="24"/>
          <w:szCs w:val="24"/>
        </w:rPr>
        <w:t xml:space="preserve"> un</w:t>
      </w:r>
      <w:r w:rsidR="00001203" w:rsidRPr="00AC24B7">
        <w:rPr>
          <w:rFonts w:ascii="Times New Roman" w:hAnsi="Times New Roman" w:cs="Times New Roman"/>
          <w:sz w:val="24"/>
          <w:szCs w:val="24"/>
        </w:rPr>
        <w:t xml:space="preserve"> </w:t>
      </w:r>
      <w:r w:rsidR="00A81AFA" w:rsidRPr="00AC24B7">
        <w:rPr>
          <w:rFonts w:ascii="Times New Roman" w:hAnsi="Times New Roman" w:cs="Times New Roman"/>
          <w:sz w:val="24"/>
          <w:szCs w:val="24"/>
        </w:rPr>
        <w:t xml:space="preserve">kuriem iepriekš nav bijusi nozīmēta papildu </w:t>
      </w:r>
      <w:r w:rsidR="00D95CEF">
        <w:rPr>
          <w:rFonts w:ascii="Times New Roman" w:hAnsi="Times New Roman" w:cs="Times New Roman"/>
          <w:sz w:val="24"/>
          <w:szCs w:val="24"/>
        </w:rPr>
        <w:t xml:space="preserve">komplementa </w:t>
      </w:r>
      <w:r w:rsidR="00A81AFA" w:rsidRPr="00AC24B7">
        <w:rPr>
          <w:rFonts w:ascii="Times New Roman" w:hAnsi="Times New Roman" w:cs="Times New Roman"/>
          <w:sz w:val="24"/>
          <w:szCs w:val="24"/>
        </w:rPr>
        <w:t>inhibitoru terapija</w:t>
      </w:r>
      <w:r w:rsidR="00D95CEF">
        <w:rPr>
          <w:rFonts w:ascii="Times New Roman" w:hAnsi="Times New Roman" w:cs="Times New Roman"/>
          <w:sz w:val="24"/>
          <w:szCs w:val="24"/>
        </w:rPr>
        <w:t>,</w:t>
      </w:r>
      <w:r w:rsidR="00A81AFA" w:rsidRPr="00AC24B7">
        <w:rPr>
          <w:rFonts w:ascii="Times New Roman" w:hAnsi="Times New Roman" w:cs="Times New Roman"/>
          <w:sz w:val="24"/>
          <w:szCs w:val="24"/>
        </w:rPr>
        <w:t xml:space="preserve"> vai kuri vismaz 3 mēnešus ir saņēmuši </w:t>
      </w:r>
      <w:proofErr w:type="spellStart"/>
      <w:r w:rsidR="00A81AFA" w:rsidRPr="00AC24B7">
        <w:rPr>
          <w:rFonts w:ascii="Times New Roman" w:hAnsi="Times New Roman" w:cs="Times New Roman"/>
          <w:i/>
          <w:iCs/>
          <w:sz w:val="24"/>
          <w:szCs w:val="24"/>
        </w:rPr>
        <w:t>Ekulizumabum</w:t>
      </w:r>
      <w:proofErr w:type="spellEnd"/>
      <w:r w:rsidR="00A81AFA" w:rsidRPr="00AC24B7">
        <w:rPr>
          <w:rFonts w:ascii="Times New Roman" w:hAnsi="Times New Roman" w:cs="Times New Roman"/>
          <w:sz w:val="24"/>
          <w:szCs w:val="24"/>
        </w:rPr>
        <w:t xml:space="preserve">, un </w:t>
      </w:r>
      <w:r w:rsidR="00D95CEF">
        <w:rPr>
          <w:rFonts w:ascii="Times New Roman" w:hAnsi="Times New Roman" w:cs="Times New Roman"/>
          <w:sz w:val="24"/>
          <w:szCs w:val="24"/>
        </w:rPr>
        <w:t>viņiem</w:t>
      </w:r>
      <w:r w:rsidR="00A81AFA" w:rsidRPr="00AC24B7">
        <w:rPr>
          <w:rFonts w:ascii="Times New Roman" w:hAnsi="Times New Roman" w:cs="Times New Roman"/>
          <w:sz w:val="24"/>
          <w:szCs w:val="24"/>
        </w:rPr>
        <w:t xml:space="preserve"> ir iegūti pierādījumi par atbildes reakciju uz </w:t>
      </w:r>
      <w:proofErr w:type="spellStart"/>
      <w:r w:rsidR="00A81AFA" w:rsidRPr="00AC24B7">
        <w:rPr>
          <w:rFonts w:ascii="Times New Roman" w:hAnsi="Times New Roman" w:cs="Times New Roman"/>
          <w:i/>
          <w:iCs/>
          <w:sz w:val="24"/>
          <w:szCs w:val="24"/>
        </w:rPr>
        <w:t>Ekulizumabum</w:t>
      </w:r>
      <w:proofErr w:type="spellEnd"/>
      <w:r w:rsidR="00A81AFA" w:rsidRPr="00AC24B7">
        <w:rPr>
          <w:rFonts w:ascii="Times New Roman" w:hAnsi="Times New Roman" w:cs="Times New Roman"/>
          <w:sz w:val="24"/>
          <w:szCs w:val="24"/>
        </w:rPr>
        <w:t xml:space="preserve"> lietošanu. Ārstēšana uzsākama pēc iespējas ātrāk (vēlams pirmo 48 stundu laikā), lai novērstu neatgriezenisku nieru bojājumu. </w:t>
      </w:r>
    </w:p>
    <w:p w14:paraId="1BD1859D" w14:textId="77777777" w:rsidR="00A53B87" w:rsidRPr="00AC24B7" w:rsidRDefault="00A53B87" w:rsidP="00A53B87">
      <w:pPr>
        <w:pStyle w:val="Sarakstarindkop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CAC0CF7" w14:textId="5C5E34EC" w:rsidR="00AC24B7" w:rsidRPr="00AC24B7" w:rsidRDefault="00AC24B7" w:rsidP="00AC24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Klīniskās un laboratoriskās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pazīmes:</w:t>
      </w:r>
    </w:p>
    <w:p w14:paraId="2DA799A6" w14:textId="0A73984B" w:rsidR="00AC24B7" w:rsidRPr="00AC24B7" w:rsidRDefault="00AC24B7" w:rsidP="00AC24B7">
      <w:pPr>
        <w:pStyle w:val="Default"/>
        <w:numPr>
          <w:ilvl w:val="0"/>
          <w:numId w:val="22"/>
        </w:numPr>
        <w:jc w:val="both"/>
      </w:pPr>
      <w:proofErr w:type="spellStart"/>
      <w:r w:rsidRPr="00AC24B7">
        <w:rPr>
          <w:u w:val="single"/>
        </w:rPr>
        <w:t>Mikroangiopātiska</w:t>
      </w:r>
      <w:proofErr w:type="spellEnd"/>
      <w:r w:rsidRPr="00AC24B7">
        <w:rPr>
          <w:u w:val="single"/>
        </w:rPr>
        <w:t xml:space="preserve"> </w:t>
      </w:r>
      <w:proofErr w:type="spellStart"/>
      <w:r w:rsidRPr="00AC24B7">
        <w:rPr>
          <w:u w:val="single"/>
        </w:rPr>
        <w:t>hemolītiska</w:t>
      </w:r>
      <w:proofErr w:type="spellEnd"/>
      <w:r w:rsidRPr="00AC24B7">
        <w:rPr>
          <w:u w:val="single"/>
        </w:rPr>
        <w:t xml:space="preserve"> anēmija:</w:t>
      </w:r>
      <w:r w:rsidRPr="00AC24B7">
        <w:t xml:space="preserve"> hemoglobīna</w:t>
      </w:r>
      <w:r w:rsidR="001E1E38">
        <w:t xml:space="preserve"> (</w:t>
      </w:r>
      <w:proofErr w:type="spellStart"/>
      <w:r w:rsidR="001E1E38">
        <w:t>Hb</w:t>
      </w:r>
      <w:proofErr w:type="spellEnd"/>
      <w:r w:rsidR="001E1E38">
        <w:t>)</w:t>
      </w:r>
      <w:r w:rsidRPr="00AC24B7">
        <w:t xml:space="preserve"> līmeņa samazināšanās</w:t>
      </w:r>
      <w:r w:rsidR="00936BA9">
        <w:t xml:space="preserve"> (&lt;120 g/l)</w:t>
      </w:r>
      <w:r w:rsidRPr="00AC24B7">
        <w:t xml:space="preserve">, paaugstināts </w:t>
      </w:r>
      <w:proofErr w:type="spellStart"/>
      <w:r w:rsidRPr="00AC24B7">
        <w:t>laktātdehidrogenāzes</w:t>
      </w:r>
      <w:proofErr w:type="spellEnd"/>
      <w:r w:rsidRPr="00AC24B7">
        <w:t xml:space="preserve"> (LDH) līmenis</w:t>
      </w:r>
      <w:r w:rsidR="00F20014">
        <w:t xml:space="preserve"> (&gt;500 </w:t>
      </w:r>
      <w:r w:rsidR="001E1E38">
        <w:t>SV</w:t>
      </w:r>
      <w:r w:rsidR="00F20014">
        <w:t>/l)</w:t>
      </w:r>
      <w:r w:rsidRPr="00AC24B7">
        <w:t xml:space="preserve">, samazināts </w:t>
      </w:r>
      <w:proofErr w:type="spellStart"/>
      <w:r w:rsidRPr="00AC24B7">
        <w:t>haptoglobīna</w:t>
      </w:r>
      <w:proofErr w:type="spellEnd"/>
      <w:r w:rsidRPr="00AC24B7">
        <w:t xml:space="preserve"> līmenis</w:t>
      </w:r>
      <w:r w:rsidR="00F20014">
        <w:t xml:space="preserve"> (&lt;0,3g/l)</w:t>
      </w:r>
      <w:r w:rsidRPr="00AC24B7">
        <w:t xml:space="preserve">, </w:t>
      </w:r>
      <w:proofErr w:type="spellStart"/>
      <w:r w:rsidRPr="00AC24B7">
        <w:t>šistocītu</w:t>
      </w:r>
      <w:proofErr w:type="spellEnd"/>
      <w:r w:rsidRPr="00AC24B7">
        <w:t xml:space="preserve"> klātbūtne </w:t>
      </w:r>
      <w:proofErr w:type="spellStart"/>
      <w:r w:rsidRPr="00AC24B7">
        <w:t>perifēro</w:t>
      </w:r>
      <w:proofErr w:type="spellEnd"/>
      <w:r w:rsidRPr="00AC24B7">
        <w:t xml:space="preserve"> asiņu </w:t>
      </w:r>
      <w:proofErr w:type="spellStart"/>
      <w:r w:rsidRPr="00AC24B7">
        <w:t>iztriepē</w:t>
      </w:r>
      <w:proofErr w:type="spellEnd"/>
      <w:r w:rsidR="00F20014">
        <w:t xml:space="preserve"> (&gt;2%)</w:t>
      </w:r>
      <w:r w:rsidRPr="00AC24B7">
        <w:t xml:space="preserve">, parasti negatīvs tiešais </w:t>
      </w:r>
      <w:proofErr w:type="spellStart"/>
      <w:r w:rsidRPr="00AC24B7">
        <w:t>Kumbsa</w:t>
      </w:r>
      <w:proofErr w:type="spellEnd"/>
      <w:r w:rsidRPr="00AC24B7">
        <w:t xml:space="preserve"> (DAT) tests; </w:t>
      </w:r>
    </w:p>
    <w:p w14:paraId="10F950F4" w14:textId="696FD602" w:rsidR="00AC24B7" w:rsidRPr="00AC24B7" w:rsidRDefault="00AC24B7" w:rsidP="00AC24B7">
      <w:pPr>
        <w:pStyle w:val="Default"/>
        <w:numPr>
          <w:ilvl w:val="0"/>
          <w:numId w:val="22"/>
        </w:numPr>
        <w:jc w:val="both"/>
      </w:pPr>
      <w:proofErr w:type="spellStart"/>
      <w:r w:rsidRPr="00AC24B7">
        <w:rPr>
          <w:u w:val="single"/>
        </w:rPr>
        <w:t>Trombocitopēnija</w:t>
      </w:r>
      <w:proofErr w:type="spellEnd"/>
      <w:r w:rsidRPr="00AC24B7">
        <w:t xml:space="preserve">: samazināts trombocītu skaits </w:t>
      </w:r>
      <w:r w:rsidR="00B41E4E">
        <w:t xml:space="preserve">(&lt;150 tūkst/ml) </w:t>
      </w:r>
      <w:r w:rsidRPr="00AC24B7">
        <w:t>vai to kritums ≥25% 48 stundu laikā;</w:t>
      </w:r>
    </w:p>
    <w:p w14:paraId="11F16660" w14:textId="628E9CFB" w:rsidR="00D61201" w:rsidRDefault="00AC24B7" w:rsidP="00D61201">
      <w:pPr>
        <w:pStyle w:val="Default"/>
        <w:numPr>
          <w:ilvl w:val="0"/>
          <w:numId w:val="22"/>
        </w:numPr>
        <w:spacing w:before="240" w:after="240"/>
        <w:jc w:val="both"/>
      </w:pPr>
      <w:r w:rsidRPr="00AC24B7">
        <w:rPr>
          <w:u w:val="single"/>
        </w:rPr>
        <w:t>Akūts nieru bojājums</w:t>
      </w:r>
      <w:r w:rsidRPr="00AC24B7">
        <w:t>: paaugstināts kreatinīna līmenis serumā</w:t>
      </w:r>
      <w:r w:rsidR="00F20014">
        <w:t xml:space="preserve"> (&gt;120 </w:t>
      </w:r>
      <w:proofErr w:type="spellStart"/>
      <w:r w:rsidR="00F20014">
        <w:t>mkmol</w:t>
      </w:r>
      <w:proofErr w:type="spellEnd"/>
      <w:r w:rsidR="00F20014">
        <w:t>/l)</w:t>
      </w:r>
      <w:r w:rsidRPr="00AC24B7">
        <w:t xml:space="preserve">, samazināts aprēķinātais </w:t>
      </w:r>
      <w:proofErr w:type="spellStart"/>
      <w:r w:rsidRPr="00AC24B7">
        <w:t>glomerulārās</w:t>
      </w:r>
      <w:proofErr w:type="spellEnd"/>
      <w:r w:rsidRPr="00AC24B7">
        <w:t xml:space="preserve"> filtrācijas ātrums (</w:t>
      </w:r>
      <w:proofErr w:type="spellStart"/>
      <w:r w:rsidRPr="00AC24B7">
        <w:t>aGFĀ</w:t>
      </w:r>
      <w:proofErr w:type="spellEnd"/>
      <w:r w:rsidRPr="00AC24B7">
        <w:t>)</w:t>
      </w:r>
      <w:r w:rsidR="00F20014">
        <w:t xml:space="preserve"> (&lt;90 ml/min)</w:t>
      </w:r>
      <w:r w:rsidRPr="00AC24B7">
        <w:t xml:space="preserve">, </w:t>
      </w:r>
      <w:proofErr w:type="spellStart"/>
      <w:r w:rsidRPr="00AC24B7">
        <w:t>oligurija</w:t>
      </w:r>
      <w:proofErr w:type="spellEnd"/>
      <w:r w:rsidR="00F20014">
        <w:t xml:space="preserve"> (&lt;500ml/24h)</w:t>
      </w:r>
      <w:r w:rsidRPr="00AC24B7">
        <w:t xml:space="preserve"> vai </w:t>
      </w:r>
      <w:proofErr w:type="spellStart"/>
      <w:r w:rsidRPr="00AC24B7">
        <w:t>anūrija</w:t>
      </w:r>
      <w:proofErr w:type="spellEnd"/>
      <w:r w:rsidR="00F20014">
        <w:t xml:space="preserve"> (&lt;50 ml/24h)</w:t>
      </w:r>
      <w:r w:rsidRPr="00AC24B7">
        <w:t>.</w:t>
      </w:r>
    </w:p>
    <w:p w14:paraId="723F2EC0" w14:textId="63714661" w:rsidR="000F4800" w:rsidRPr="00303923" w:rsidRDefault="000F4800" w:rsidP="00D61201">
      <w:pPr>
        <w:pStyle w:val="Default"/>
        <w:numPr>
          <w:ilvl w:val="0"/>
          <w:numId w:val="2"/>
        </w:numPr>
        <w:spacing w:after="240" w:line="276" w:lineRule="auto"/>
        <w:rPr>
          <w:color w:val="auto"/>
          <w:sz w:val="23"/>
          <w:szCs w:val="23"/>
        </w:rPr>
      </w:pPr>
      <w:r w:rsidRPr="00303923">
        <w:rPr>
          <w:color w:val="auto"/>
          <w:sz w:val="23"/>
          <w:szCs w:val="23"/>
        </w:rPr>
        <w:t xml:space="preserve">Papildu laboratoriskie rādītāji, kas var norādīt uz iespējamu </w:t>
      </w:r>
      <w:proofErr w:type="spellStart"/>
      <w:r w:rsidRPr="00303923">
        <w:rPr>
          <w:color w:val="auto"/>
          <w:sz w:val="23"/>
          <w:szCs w:val="23"/>
        </w:rPr>
        <w:t>aHUS</w:t>
      </w:r>
      <w:proofErr w:type="spellEnd"/>
      <w:r w:rsidRPr="00303923">
        <w:rPr>
          <w:color w:val="auto"/>
          <w:sz w:val="23"/>
          <w:szCs w:val="23"/>
        </w:rPr>
        <w:t xml:space="preserve"> esamību, ja konstatēta iepriekšminētā klīnika: </w:t>
      </w:r>
    </w:p>
    <w:p w14:paraId="32211BC1" w14:textId="6005D0F5" w:rsidR="00A53B87" w:rsidRPr="00303923" w:rsidRDefault="000F4800" w:rsidP="00D61201">
      <w:pPr>
        <w:pStyle w:val="Default"/>
        <w:numPr>
          <w:ilvl w:val="0"/>
          <w:numId w:val="25"/>
        </w:numPr>
        <w:spacing w:line="276" w:lineRule="auto"/>
        <w:rPr>
          <w:color w:val="auto"/>
          <w:sz w:val="23"/>
          <w:szCs w:val="23"/>
        </w:rPr>
      </w:pPr>
      <w:r w:rsidRPr="00303923">
        <w:rPr>
          <w:color w:val="auto"/>
          <w:sz w:val="23"/>
          <w:szCs w:val="23"/>
        </w:rPr>
        <w:t xml:space="preserve">ADAMTS13 aktivitāte &gt;10% (smags deficīts &lt;10% raksturīgs TTP); </w:t>
      </w:r>
    </w:p>
    <w:p w14:paraId="601707C7" w14:textId="50A6D6D0" w:rsidR="00AC24B7" w:rsidRPr="00303923" w:rsidRDefault="00AC24B7" w:rsidP="00D61201">
      <w:pPr>
        <w:pStyle w:val="Sarakstarindkop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 xml:space="preserve">Vismaz divas nedēļas pirms terapijas uzsākšanas ar </w:t>
      </w:r>
      <w:proofErr w:type="spellStart"/>
      <w:r w:rsidRPr="00303923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jāveic vakcinācija pret </w:t>
      </w:r>
      <w:proofErr w:type="spellStart"/>
      <w:r w:rsidRPr="00303923">
        <w:rPr>
          <w:rFonts w:ascii="Times New Roman" w:hAnsi="Times New Roman" w:cs="Times New Roman"/>
          <w:sz w:val="24"/>
          <w:szCs w:val="24"/>
        </w:rPr>
        <w:t>meningokoku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infekcijām, izņemot, ja ārstēšanas ar </w:t>
      </w:r>
      <w:proofErr w:type="spellStart"/>
      <w:r w:rsidRPr="00303923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atlikšanas risks ir lielāks par </w:t>
      </w:r>
      <w:proofErr w:type="spellStart"/>
      <w:r w:rsidRPr="00303923">
        <w:rPr>
          <w:rFonts w:ascii="Times New Roman" w:hAnsi="Times New Roman" w:cs="Times New Roman"/>
          <w:sz w:val="24"/>
          <w:szCs w:val="24"/>
        </w:rPr>
        <w:t>meningokoku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infekcijas attīstīšanās risku. Ja iespējams, ieteicamas vakcīnas pret </w:t>
      </w:r>
      <w:proofErr w:type="spellStart"/>
      <w:r w:rsidRPr="00303923">
        <w:rPr>
          <w:rFonts w:ascii="Times New Roman" w:hAnsi="Times New Roman" w:cs="Times New Roman"/>
          <w:sz w:val="24"/>
          <w:szCs w:val="24"/>
        </w:rPr>
        <w:t>serogrupām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A, C, Y, W135 un B, lai aizkavētu parasti patogēnas </w:t>
      </w:r>
      <w:proofErr w:type="spellStart"/>
      <w:r w:rsidRPr="00303923">
        <w:rPr>
          <w:rFonts w:ascii="Times New Roman" w:hAnsi="Times New Roman" w:cs="Times New Roman"/>
          <w:sz w:val="24"/>
          <w:szCs w:val="24"/>
        </w:rPr>
        <w:t>meningokoku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923">
        <w:rPr>
          <w:rFonts w:ascii="Times New Roman" w:hAnsi="Times New Roman" w:cs="Times New Roman"/>
          <w:sz w:val="24"/>
          <w:szCs w:val="24"/>
        </w:rPr>
        <w:t>serogrupas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>.</w:t>
      </w:r>
      <w:r w:rsidR="006E2343" w:rsidRPr="00303923">
        <w:rPr>
          <w:rFonts w:ascii="Times New Roman" w:hAnsi="Times New Roman" w:cs="Times New Roman"/>
          <w:sz w:val="24"/>
          <w:szCs w:val="24"/>
        </w:rPr>
        <w:t xml:space="preserve"> Pacientiem, kuriem terapija ar </w:t>
      </w:r>
      <w:proofErr w:type="spellStart"/>
      <w:r w:rsidR="006E2343" w:rsidRPr="00303923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="006E2343" w:rsidRPr="00303923">
        <w:rPr>
          <w:rFonts w:ascii="Times New Roman" w:hAnsi="Times New Roman" w:cs="Times New Roman"/>
          <w:sz w:val="24"/>
          <w:szCs w:val="24"/>
        </w:rPr>
        <w:t xml:space="preserve"> ir uzsākta mazāk nekā divas nedēļas pēc </w:t>
      </w:r>
      <w:proofErr w:type="spellStart"/>
      <w:r w:rsidR="006E2343" w:rsidRPr="00303923">
        <w:rPr>
          <w:rFonts w:ascii="Times New Roman" w:hAnsi="Times New Roman" w:cs="Times New Roman"/>
          <w:sz w:val="24"/>
          <w:szCs w:val="24"/>
        </w:rPr>
        <w:t>meningokoku</w:t>
      </w:r>
      <w:proofErr w:type="spellEnd"/>
      <w:r w:rsidR="006E2343" w:rsidRPr="00303923">
        <w:rPr>
          <w:rFonts w:ascii="Times New Roman" w:hAnsi="Times New Roman" w:cs="Times New Roman"/>
          <w:sz w:val="24"/>
          <w:szCs w:val="24"/>
        </w:rPr>
        <w:t xml:space="preserve"> vakcīnas ievadīšanas, divas nedēļas pēc vakcinēšanas profilaktiski jālieto piemēroti antibiotiskie līdzekļi.</w:t>
      </w:r>
    </w:p>
    <w:p w14:paraId="60BCD81A" w14:textId="77777777" w:rsidR="00AC24B7" w:rsidRPr="00AC24B7" w:rsidRDefault="00AC24B7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jādomā gadījumos, kuros citu ticamu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hemolītiski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urēmiska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sindroma etioloģiju iespējamība ir maza. Par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var liecināt: </w:t>
      </w:r>
    </w:p>
    <w:p w14:paraId="234600F0" w14:textId="00A0544C" w:rsidR="00A81AFA" w:rsidRPr="00AC24B7" w:rsidRDefault="00A81AFA" w:rsidP="00AC24B7">
      <w:pPr>
        <w:pStyle w:val="Sarakstarindkop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mikroangiopātija</w:t>
      </w:r>
      <w:proofErr w:type="spellEnd"/>
      <w:r w:rsidR="00BB394B" w:rsidRPr="00AC24B7">
        <w:rPr>
          <w:rFonts w:ascii="Times New Roman" w:hAnsi="Times New Roman" w:cs="Times New Roman"/>
          <w:sz w:val="24"/>
          <w:szCs w:val="24"/>
        </w:rPr>
        <w:t xml:space="preserve"> (TMA)</w:t>
      </w:r>
      <w:r w:rsidRPr="00AC24B7">
        <w:rPr>
          <w:rFonts w:ascii="Times New Roman" w:hAnsi="Times New Roman" w:cs="Times New Roman"/>
          <w:sz w:val="24"/>
          <w:szCs w:val="24"/>
        </w:rPr>
        <w:t xml:space="preserve"> ar progresējošu nieru funkcijas pasliktināšanos</w:t>
      </w:r>
      <w:r w:rsidR="00742428">
        <w:rPr>
          <w:rFonts w:ascii="Times New Roman" w:hAnsi="Times New Roman" w:cs="Times New Roman"/>
          <w:sz w:val="24"/>
          <w:szCs w:val="24"/>
        </w:rPr>
        <w:t xml:space="preserve"> (GF</w:t>
      </w:r>
      <w:r w:rsidR="001E1E38">
        <w:rPr>
          <w:rFonts w:ascii="Times New Roman" w:hAnsi="Times New Roman" w:cs="Times New Roman"/>
          <w:sz w:val="24"/>
          <w:szCs w:val="24"/>
        </w:rPr>
        <w:t>Ā</w:t>
      </w:r>
      <w:r w:rsidR="00742428">
        <w:rPr>
          <w:rFonts w:ascii="Times New Roman" w:hAnsi="Times New Roman" w:cs="Times New Roman"/>
          <w:sz w:val="24"/>
          <w:szCs w:val="24"/>
        </w:rPr>
        <w:t xml:space="preserve"> &lt; 90 ml/min)</w:t>
      </w:r>
      <w:r w:rsidRPr="00AC24B7">
        <w:rPr>
          <w:rFonts w:ascii="Times New Roman" w:hAnsi="Times New Roman" w:cs="Times New Roman"/>
          <w:sz w:val="24"/>
          <w:szCs w:val="24"/>
        </w:rPr>
        <w:t>;</w:t>
      </w:r>
    </w:p>
    <w:p w14:paraId="64CB0560" w14:textId="3B770B68" w:rsidR="00A81AFA" w:rsidRPr="00AC24B7" w:rsidRDefault="00A81AFA" w:rsidP="00AC24B7">
      <w:pPr>
        <w:pStyle w:val="Sarakstarindkop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ar akūtu nieru mazspēju</w:t>
      </w:r>
      <w:r w:rsidR="001E1E38">
        <w:rPr>
          <w:rFonts w:ascii="Times New Roman" w:hAnsi="Times New Roman" w:cs="Times New Roman"/>
          <w:sz w:val="24"/>
          <w:szCs w:val="24"/>
        </w:rPr>
        <w:t xml:space="preserve"> (seruma kreatinīna pieaugums par &gt;26 </w:t>
      </w:r>
      <w:proofErr w:type="spellStart"/>
      <w:r w:rsidR="001E1E38">
        <w:rPr>
          <w:rFonts w:ascii="Times New Roman" w:hAnsi="Times New Roman" w:cs="Times New Roman"/>
          <w:sz w:val="24"/>
          <w:szCs w:val="24"/>
        </w:rPr>
        <w:t>mkmol</w:t>
      </w:r>
      <w:proofErr w:type="spellEnd"/>
      <w:r w:rsidR="001E1E38">
        <w:rPr>
          <w:rFonts w:ascii="Times New Roman" w:hAnsi="Times New Roman" w:cs="Times New Roman"/>
          <w:sz w:val="24"/>
          <w:szCs w:val="24"/>
        </w:rPr>
        <w:t>/l 48 stundu laikā vai &gt;1,5 reizes 7 dienu laikā)</w:t>
      </w:r>
      <w:r w:rsidRPr="00AC24B7">
        <w:rPr>
          <w:rFonts w:ascii="Times New Roman" w:hAnsi="Times New Roman" w:cs="Times New Roman"/>
          <w:sz w:val="24"/>
          <w:szCs w:val="24"/>
        </w:rPr>
        <w:t>, bet bez sāpēm vēderā un izteikt</w:t>
      </w:r>
      <w:r w:rsidR="00936BA9">
        <w:rPr>
          <w:rFonts w:ascii="Times New Roman" w:hAnsi="Times New Roman" w:cs="Times New Roman"/>
          <w:sz w:val="24"/>
          <w:szCs w:val="24"/>
        </w:rPr>
        <w:t>as</w:t>
      </w:r>
      <w:r w:rsidRPr="00AC24B7">
        <w:rPr>
          <w:rFonts w:ascii="Times New Roman" w:hAnsi="Times New Roman" w:cs="Times New Roman"/>
          <w:sz w:val="24"/>
          <w:szCs w:val="24"/>
        </w:rPr>
        <w:t xml:space="preserve"> asiņain</w:t>
      </w:r>
      <w:r w:rsidR="00936BA9">
        <w:rPr>
          <w:rFonts w:ascii="Times New Roman" w:hAnsi="Times New Roman" w:cs="Times New Roman"/>
          <w:sz w:val="24"/>
          <w:szCs w:val="24"/>
        </w:rPr>
        <w:t>as</w:t>
      </w:r>
      <w:r w:rsidRPr="00AC24B7">
        <w:rPr>
          <w:rFonts w:ascii="Times New Roman" w:hAnsi="Times New Roman" w:cs="Times New Roman"/>
          <w:sz w:val="24"/>
          <w:szCs w:val="24"/>
        </w:rPr>
        <w:t xml:space="preserve"> caurej</w:t>
      </w:r>
      <w:r w:rsidR="00936BA9">
        <w:rPr>
          <w:rFonts w:ascii="Times New Roman" w:hAnsi="Times New Roman" w:cs="Times New Roman"/>
          <w:sz w:val="24"/>
          <w:szCs w:val="24"/>
        </w:rPr>
        <w:t>as</w:t>
      </w:r>
      <w:r w:rsidRPr="00AC24B7">
        <w:rPr>
          <w:rFonts w:ascii="Times New Roman" w:hAnsi="Times New Roman" w:cs="Times New Roman"/>
          <w:sz w:val="24"/>
          <w:szCs w:val="24"/>
        </w:rPr>
        <w:t xml:space="preserve"> (nav norādes par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šiga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toksīna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hemolītisku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urēmisku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sindromu); </w:t>
      </w:r>
    </w:p>
    <w:p w14:paraId="24F55457" w14:textId="319A31DF" w:rsidR="00766E4B" w:rsidRPr="00AC24B7" w:rsidRDefault="00A81AFA" w:rsidP="00AC24B7">
      <w:pPr>
        <w:pStyle w:val="Sarakstarindkop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ar akūtu nieru mazspēju</w:t>
      </w:r>
      <w:r w:rsidR="001E1E38">
        <w:rPr>
          <w:rFonts w:ascii="Times New Roman" w:hAnsi="Times New Roman" w:cs="Times New Roman"/>
          <w:sz w:val="24"/>
          <w:szCs w:val="24"/>
        </w:rPr>
        <w:t xml:space="preserve"> ((seruma kreatinīna pieaugums par &gt;26 </w:t>
      </w:r>
      <w:proofErr w:type="spellStart"/>
      <w:r w:rsidR="001E1E38">
        <w:rPr>
          <w:rFonts w:ascii="Times New Roman" w:hAnsi="Times New Roman" w:cs="Times New Roman"/>
          <w:sz w:val="24"/>
          <w:szCs w:val="24"/>
        </w:rPr>
        <w:t>mkmol</w:t>
      </w:r>
      <w:proofErr w:type="spellEnd"/>
      <w:r w:rsidR="001E1E38">
        <w:rPr>
          <w:rFonts w:ascii="Times New Roman" w:hAnsi="Times New Roman" w:cs="Times New Roman"/>
          <w:sz w:val="24"/>
          <w:szCs w:val="24"/>
        </w:rPr>
        <w:t>/l 48 stundu laikā vai &gt;1,5 reizes 7 dienu laikā)</w:t>
      </w:r>
      <w:r w:rsidR="001E1E38" w:rsidRPr="00AC24B7">
        <w:rPr>
          <w:rFonts w:ascii="Times New Roman" w:hAnsi="Times New Roman" w:cs="Times New Roman"/>
          <w:sz w:val="24"/>
          <w:szCs w:val="24"/>
        </w:rPr>
        <w:t xml:space="preserve">, </w:t>
      </w:r>
      <w:r w:rsidRPr="00AC24B7">
        <w:rPr>
          <w:rFonts w:ascii="Times New Roman" w:hAnsi="Times New Roman" w:cs="Times New Roman"/>
          <w:sz w:val="24"/>
          <w:szCs w:val="24"/>
        </w:rPr>
        <w:t xml:space="preserve"> bez zināmas to medikamentu lietošanas, kas var izsaukt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trombotisku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mikroangiopātiju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>;</w:t>
      </w:r>
    </w:p>
    <w:p w14:paraId="1B630004" w14:textId="644E252E" w:rsidR="00A81AFA" w:rsidRPr="00AC24B7" w:rsidRDefault="00A81AFA" w:rsidP="00AC24B7">
      <w:pPr>
        <w:pStyle w:val="Sarakstarindkop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pacienta ģimenē zināms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3A5697" w14:textId="70881C91" w:rsidR="001C0BA7" w:rsidRPr="00AC24B7" w:rsidRDefault="00A81AFA" w:rsidP="00AC24B7">
      <w:pPr>
        <w:pStyle w:val="Sarakstarindkop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ar izteiktu akūtu nieru mazspēju grūtniecības vai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pēcdzemdību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periodā. </w:t>
      </w:r>
    </w:p>
    <w:p w14:paraId="77BDF627" w14:textId="51036E55" w:rsidR="001C10A1" w:rsidRPr="00AC24B7" w:rsidRDefault="001C10A1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Ravulizumabum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terapijas turpināšana:</w:t>
      </w:r>
    </w:p>
    <w:p w14:paraId="7B331010" w14:textId="2AEB6181" w:rsidR="001C10A1" w:rsidRPr="00AC24B7" w:rsidRDefault="001C10A1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Terapijas turpināšana izvērtējama </w:t>
      </w:r>
      <w:r w:rsidR="001E1E38">
        <w:rPr>
          <w:rFonts w:ascii="Times New Roman" w:hAnsi="Times New Roman" w:cs="Times New Roman"/>
          <w:sz w:val="24"/>
          <w:szCs w:val="24"/>
        </w:rPr>
        <w:t xml:space="preserve">ik </w:t>
      </w:r>
      <w:r w:rsidRPr="00AC24B7">
        <w:rPr>
          <w:rFonts w:ascii="Times New Roman" w:hAnsi="Times New Roman" w:cs="Times New Roman"/>
          <w:sz w:val="24"/>
          <w:szCs w:val="24"/>
        </w:rPr>
        <w:t xml:space="preserve">pēc 6 mēnešiem, ņemot vērā sekojošus faktorus: </w:t>
      </w:r>
    </w:p>
    <w:p w14:paraId="70FC2EBE" w14:textId="64FF4EC5" w:rsidR="001C10A1" w:rsidRPr="00AC24B7" w:rsidRDefault="001E1E38" w:rsidP="00AC24B7">
      <w:pPr>
        <w:pStyle w:val="Sarakstarindko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1C10A1" w:rsidRPr="00AC24B7">
        <w:rPr>
          <w:rFonts w:ascii="Times New Roman" w:hAnsi="Times New Roman" w:cs="Times New Roman"/>
          <w:sz w:val="24"/>
          <w:szCs w:val="24"/>
        </w:rPr>
        <w:t xml:space="preserve">vai nav </w:t>
      </w:r>
      <w:proofErr w:type="spellStart"/>
      <w:r w:rsidR="001C10A1" w:rsidRPr="00AC24B7">
        <w:rPr>
          <w:rFonts w:ascii="Times New Roman" w:hAnsi="Times New Roman" w:cs="Times New Roman"/>
          <w:sz w:val="24"/>
          <w:szCs w:val="24"/>
        </w:rPr>
        <w:t>trombotiskas</w:t>
      </w:r>
      <w:proofErr w:type="spellEnd"/>
      <w:r w:rsidR="001C10A1"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0A1" w:rsidRPr="00AC24B7">
        <w:rPr>
          <w:rFonts w:ascii="Times New Roman" w:hAnsi="Times New Roman" w:cs="Times New Roman"/>
          <w:sz w:val="24"/>
          <w:szCs w:val="24"/>
        </w:rPr>
        <w:t>mikroangiopātijas</w:t>
      </w:r>
      <w:proofErr w:type="spellEnd"/>
      <w:r w:rsidR="001C10A1" w:rsidRPr="00AC24B7">
        <w:rPr>
          <w:rFonts w:ascii="Times New Roman" w:hAnsi="Times New Roman" w:cs="Times New Roman"/>
          <w:sz w:val="24"/>
          <w:szCs w:val="24"/>
        </w:rPr>
        <w:t xml:space="preserve"> (TMA) </w:t>
      </w:r>
      <w:r>
        <w:rPr>
          <w:rFonts w:ascii="Times New Roman" w:hAnsi="Times New Roman" w:cs="Times New Roman"/>
          <w:sz w:val="24"/>
          <w:szCs w:val="24"/>
        </w:rPr>
        <w:t>klīnikās un laboratoriskās</w:t>
      </w:r>
      <w:r w:rsidR="001C10A1" w:rsidRPr="00AC24B7">
        <w:rPr>
          <w:rFonts w:ascii="Times New Roman" w:hAnsi="Times New Roman" w:cs="Times New Roman"/>
          <w:sz w:val="24"/>
          <w:szCs w:val="24"/>
        </w:rPr>
        <w:t xml:space="preserve"> pazīmes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BB0784" w14:textId="572F4BE4" w:rsidR="001C10A1" w:rsidRDefault="001C10A1" w:rsidP="00AC24B7">
      <w:pPr>
        <w:pStyle w:val="Sarakstarindko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vai ir pagājuši vismaz 3 mēneši pēc nieru funkcijas normalizācijas</w:t>
      </w:r>
      <w:r w:rsidR="006377B1">
        <w:rPr>
          <w:rFonts w:ascii="Times New Roman" w:hAnsi="Times New Roman" w:cs="Times New Roman"/>
          <w:sz w:val="24"/>
          <w:szCs w:val="24"/>
        </w:rPr>
        <w:t xml:space="preserve"> (GFĀ &gt;60 ml/min)</w:t>
      </w:r>
      <w:r w:rsidRPr="00AC24B7">
        <w:rPr>
          <w:rFonts w:ascii="Times New Roman" w:hAnsi="Times New Roman" w:cs="Times New Roman"/>
          <w:sz w:val="24"/>
          <w:szCs w:val="24"/>
        </w:rPr>
        <w:t xml:space="preserve"> vai</w:t>
      </w:r>
      <w:r w:rsidR="001E1E38">
        <w:rPr>
          <w:rFonts w:ascii="Times New Roman" w:hAnsi="Times New Roman" w:cs="Times New Roman"/>
          <w:sz w:val="24"/>
          <w:szCs w:val="24"/>
        </w:rPr>
        <w:t xml:space="preserve"> ir notikusi</w:t>
      </w:r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reziduālās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nieru funkcijas stabilizācija</w:t>
      </w:r>
      <w:r w:rsidR="001E1E38">
        <w:rPr>
          <w:rFonts w:ascii="Times New Roman" w:hAnsi="Times New Roman" w:cs="Times New Roman"/>
          <w:sz w:val="24"/>
          <w:szCs w:val="24"/>
        </w:rPr>
        <w:t xml:space="preserve"> (GFĀ samazināšanās ir apturēta);</w:t>
      </w:r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E192B" w14:textId="79C2B061" w:rsidR="00BE40F3" w:rsidRPr="00AC24B7" w:rsidRDefault="00BE40F3" w:rsidP="00AC24B7">
      <w:pPr>
        <w:pStyle w:val="Sarakstarindkop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ilgstoša ( &gt;12 mēneši) vai mūža terapija, ja pacientam konstatēts augsta riska ģenētiskais variants vai vērojami slimības recidīvi. Augsta riska ģenētiskās mutācijas: CFH, CFI, C3, CFB, </w:t>
      </w:r>
      <w:proofErr w:type="spellStart"/>
      <w:r>
        <w:rPr>
          <w:rFonts w:ascii="Times New Roman" w:hAnsi="Times New Roman" w:cs="Times New Roman"/>
          <w:sz w:val="24"/>
          <w:szCs w:val="24"/>
        </w:rPr>
        <w:t>hibrīdgēni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CFH strukturālas izmaiņas, anti-CFH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autoantivielas</w:t>
      </w:r>
      <w:proofErr w:type="spellEnd"/>
    </w:p>
    <w:p w14:paraId="20226D22" w14:textId="5985A112" w:rsidR="00766E4B" w:rsidRPr="00AC24B7" w:rsidRDefault="00766E4B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Ravulizumabum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terapijas </w:t>
      </w:r>
      <w:r w:rsidR="00303923">
        <w:rPr>
          <w:rFonts w:ascii="Times New Roman" w:hAnsi="Times New Roman" w:cs="Times New Roman"/>
          <w:b/>
          <w:bCs/>
          <w:sz w:val="24"/>
          <w:szCs w:val="24"/>
          <w:u w:val="single"/>
        </w:rPr>
        <w:t>pārtraukšanas</w:t>
      </w:r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kritēriji</w:t>
      </w:r>
      <w:r w:rsidR="006377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06E65">
        <w:rPr>
          <w:rFonts w:ascii="Times New Roman" w:hAnsi="Times New Roman" w:cs="Times New Roman"/>
          <w:b/>
          <w:bCs/>
          <w:sz w:val="24"/>
          <w:szCs w:val="24"/>
          <w:u w:val="single"/>
        </w:rPr>
        <w:t>jebkurš</w:t>
      </w:r>
      <w:r w:rsidR="006377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 sekojošiem)</w:t>
      </w:r>
    </w:p>
    <w:p w14:paraId="11425CC8" w14:textId="065E97D1" w:rsidR="00766E4B" w:rsidRPr="00303923" w:rsidRDefault="00766E4B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03923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izraisītas alerģiskas reakcijas</w:t>
      </w:r>
      <w:r w:rsidR="006377B1">
        <w:rPr>
          <w:rFonts w:ascii="Times New Roman" w:hAnsi="Times New Roman" w:cs="Times New Roman"/>
          <w:sz w:val="24"/>
          <w:szCs w:val="24"/>
        </w:rPr>
        <w:t>;</w:t>
      </w:r>
      <w:r w:rsidRPr="003039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5672FF" w14:textId="6613E0BE" w:rsidR="006377B1" w:rsidRDefault="00766E4B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 xml:space="preserve">2. </w:t>
      </w:r>
      <w:r w:rsidR="006377B1" w:rsidRPr="00303923">
        <w:rPr>
          <w:rFonts w:ascii="Times New Roman" w:hAnsi="Times New Roman" w:cs="Times New Roman"/>
          <w:sz w:val="24"/>
          <w:szCs w:val="24"/>
        </w:rPr>
        <w:t xml:space="preserve">Aktīva </w:t>
      </w:r>
      <w:proofErr w:type="spellStart"/>
      <w:r w:rsidR="006377B1" w:rsidRPr="00303923">
        <w:rPr>
          <w:rFonts w:ascii="Times New Roman" w:hAnsi="Times New Roman" w:cs="Times New Roman"/>
          <w:sz w:val="24"/>
          <w:szCs w:val="24"/>
        </w:rPr>
        <w:t>meningokoku</w:t>
      </w:r>
      <w:proofErr w:type="spellEnd"/>
      <w:r w:rsidR="006377B1" w:rsidRPr="00303923">
        <w:rPr>
          <w:rFonts w:ascii="Times New Roman" w:hAnsi="Times New Roman" w:cs="Times New Roman"/>
          <w:sz w:val="24"/>
          <w:szCs w:val="24"/>
        </w:rPr>
        <w:t xml:space="preserve"> vai </w:t>
      </w:r>
      <w:proofErr w:type="spellStart"/>
      <w:r w:rsidR="006377B1" w:rsidRPr="00303923">
        <w:rPr>
          <w:rFonts w:ascii="Times New Roman" w:hAnsi="Times New Roman" w:cs="Times New Roman"/>
          <w:sz w:val="24"/>
          <w:szCs w:val="24"/>
        </w:rPr>
        <w:t>endokapsulāra</w:t>
      </w:r>
      <w:proofErr w:type="spellEnd"/>
      <w:r w:rsidR="006377B1" w:rsidRPr="00303923">
        <w:rPr>
          <w:rFonts w:ascii="Times New Roman" w:hAnsi="Times New Roman" w:cs="Times New Roman"/>
          <w:sz w:val="24"/>
          <w:szCs w:val="24"/>
        </w:rPr>
        <w:t xml:space="preserve"> bakteriāla infekcija</w:t>
      </w:r>
      <w:r w:rsidR="006377B1">
        <w:rPr>
          <w:rFonts w:ascii="Times New Roman" w:hAnsi="Times New Roman" w:cs="Times New Roman"/>
          <w:sz w:val="24"/>
          <w:szCs w:val="24"/>
        </w:rPr>
        <w:t>;</w:t>
      </w:r>
      <w:r w:rsidR="006377B1" w:rsidRPr="003039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43C3D" w14:textId="33887926" w:rsidR="001C10A1" w:rsidRPr="00303923" w:rsidRDefault="00766E4B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>3.</w:t>
      </w:r>
      <w:r w:rsidR="001C10A1" w:rsidRPr="00303923">
        <w:rPr>
          <w:rFonts w:ascii="Times New Roman" w:hAnsi="Times New Roman" w:cs="Times New Roman"/>
          <w:sz w:val="24"/>
          <w:szCs w:val="24"/>
        </w:rPr>
        <w:t xml:space="preserve">. </w:t>
      </w:r>
      <w:r w:rsidR="006377B1" w:rsidRPr="00303923">
        <w:rPr>
          <w:rFonts w:ascii="Times New Roman" w:hAnsi="Times New Roman" w:cs="Times New Roman"/>
          <w:sz w:val="24"/>
          <w:szCs w:val="24"/>
        </w:rPr>
        <w:t xml:space="preserve">Uzturošā fāze pārtraucama pacienta </w:t>
      </w:r>
      <w:proofErr w:type="spellStart"/>
      <w:r w:rsidR="006377B1" w:rsidRPr="00303923">
        <w:rPr>
          <w:rFonts w:ascii="Times New Roman" w:hAnsi="Times New Roman" w:cs="Times New Roman"/>
          <w:sz w:val="24"/>
          <w:szCs w:val="24"/>
        </w:rPr>
        <w:t>nelīdzestības</w:t>
      </w:r>
      <w:proofErr w:type="spellEnd"/>
      <w:r w:rsidR="006377B1" w:rsidRPr="00303923">
        <w:rPr>
          <w:rFonts w:ascii="Times New Roman" w:hAnsi="Times New Roman" w:cs="Times New Roman"/>
          <w:sz w:val="24"/>
          <w:szCs w:val="24"/>
        </w:rPr>
        <w:t xml:space="preserve"> gadījumā</w:t>
      </w:r>
      <w:r w:rsidR="006377B1">
        <w:rPr>
          <w:rFonts w:ascii="Times New Roman" w:hAnsi="Times New Roman" w:cs="Times New Roman"/>
          <w:sz w:val="24"/>
          <w:szCs w:val="24"/>
        </w:rPr>
        <w:t>;</w:t>
      </w:r>
    </w:p>
    <w:p w14:paraId="7A536ECB" w14:textId="46788FC1" w:rsidR="00303923" w:rsidRPr="00303923" w:rsidRDefault="001C10A1" w:rsidP="00303923">
      <w:pPr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>4. Nav vērojam</w:t>
      </w:r>
      <w:r w:rsidR="00306E65">
        <w:rPr>
          <w:rFonts w:ascii="Times New Roman" w:hAnsi="Times New Roman" w:cs="Times New Roman"/>
          <w:sz w:val="24"/>
          <w:szCs w:val="24"/>
        </w:rPr>
        <w:t>a</w:t>
      </w:r>
      <w:r w:rsidRPr="00303923">
        <w:rPr>
          <w:rFonts w:ascii="Times New Roman" w:hAnsi="Times New Roman" w:cs="Times New Roman"/>
          <w:sz w:val="24"/>
          <w:szCs w:val="24"/>
        </w:rPr>
        <w:t xml:space="preserve"> klīnisk</w:t>
      </w:r>
      <w:r w:rsidR="00306E65">
        <w:rPr>
          <w:rFonts w:ascii="Times New Roman" w:hAnsi="Times New Roman" w:cs="Times New Roman"/>
          <w:sz w:val="24"/>
          <w:szCs w:val="24"/>
        </w:rPr>
        <w:t>a</w:t>
      </w:r>
      <w:r w:rsidRPr="00303923">
        <w:rPr>
          <w:rFonts w:ascii="Times New Roman" w:hAnsi="Times New Roman" w:cs="Times New Roman"/>
          <w:sz w:val="24"/>
          <w:szCs w:val="24"/>
        </w:rPr>
        <w:t xml:space="preserve"> </w:t>
      </w:r>
      <w:r w:rsidR="00306E65">
        <w:rPr>
          <w:rFonts w:ascii="Times New Roman" w:hAnsi="Times New Roman" w:cs="Times New Roman"/>
          <w:sz w:val="24"/>
          <w:szCs w:val="24"/>
        </w:rPr>
        <w:t>labošanās</w:t>
      </w:r>
      <w:r w:rsidR="006377B1">
        <w:rPr>
          <w:rFonts w:ascii="Times New Roman" w:hAnsi="Times New Roman" w:cs="Times New Roman"/>
          <w:sz w:val="24"/>
          <w:szCs w:val="24"/>
        </w:rPr>
        <w:t xml:space="preserve"> vai vēroja</w:t>
      </w:r>
      <w:r w:rsidR="00564E28">
        <w:rPr>
          <w:rFonts w:ascii="Times New Roman" w:hAnsi="Times New Roman" w:cs="Times New Roman"/>
          <w:sz w:val="24"/>
          <w:szCs w:val="24"/>
        </w:rPr>
        <w:t>m</w:t>
      </w:r>
      <w:r w:rsidR="006377B1">
        <w:rPr>
          <w:rFonts w:ascii="Times New Roman" w:hAnsi="Times New Roman" w:cs="Times New Roman"/>
          <w:sz w:val="24"/>
          <w:szCs w:val="24"/>
        </w:rPr>
        <w:t>a slimības progresija</w:t>
      </w:r>
      <w:r w:rsidR="001E1E38">
        <w:rPr>
          <w:rFonts w:ascii="Times New Roman" w:hAnsi="Times New Roman" w:cs="Times New Roman"/>
          <w:sz w:val="24"/>
          <w:szCs w:val="24"/>
        </w:rPr>
        <w:t xml:space="preserve"> (nav </w:t>
      </w:r>
      <w:proofErr w:type="spellStart"/>
      <w:r w:rsidR="001E1E38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1E1E38">
        <w:rPr>
          <w:rFonts w:ascii="Times New Roman" w:hAnsi="Times New Roman" w:cs="Times New Roman"/>
          <w:sz w:val="24"/>
          <w:szCs w:val="24"/>
        </w:rPr>
        <w:t xml:space="preserve"> stabilizācija</w:t>
      </w:r>
      <w:r w:rsidR="00306E65">
        <w:rPr>
          <w:rFonts w:ascii="Times New Roman" w:hAnsi="Times New Roman" w:cs="Times New Roman"/>
          <w:sz w:val="24"/>
          <w:szCs w:val="24"/>
        </w:rPr>
        <w:t>s</w:t>
      </w:r>
      <w:r w:rsidR="001E1E38">
        <w:rPr>
          <w:rFonts w:ascii="Times New Roman" w:hAnsi="Times New Roman" w:cs="Times New Roman"/>
          <w:sz w:val="24"/>
          <w:szCs w:val="24"/>
        </w:rPr>
        <w:t xml:space="preserve"> vai turpinās </w:t>
      </w:r>
      <w:proofErr w:type="spellStart"/>
      <w:r w:rsidR="001E1E38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1E1E38">
        <w:rPr>
          <w:rFonts w:ascii="Times New Roman" w:hAnsi="Times New Roman" w:cs="Times New Roman"/>
          <w:sz w:val="24"/>
          <w:szCs w:val="24"/>
        </w:rPr>
        <w:t xml:space="preserve"> samazināšanās, </w:t>
      </w:r>
      <w:r w:rsidR="00306E65">
        <w:rPr>
          <w:rFonts w:ascii="Times New Roman" w:hAnsi="Times New Roman" w:cs="Times New Roman"/>
          <w:sz w:val="24"/>
          <w:szCs w:val="24"/>
        </w:rPr>
        <w:t xml:space="preserve">nav trombocītu skaita stabilizācijas vai turpinās to samazināšanās, </w:t>
      </w:r>
      <w:r w:rsidR="001E1E38">
        <w:rPr>
          <w:rFonts w:ascii="Times New Roman" w:hAnsi="Times New Roman" w:cs="Times New Roman"/>
          <w:sz w:val="24"/>
          <w:szCs w:val="24"/>
        </w:rPr>
        <w:t xml:space="preserve">turpinās LDH pieaugums, turpinās </w:t>
      </w:r>
      <w:proofErr w:type="spellStart"/>
      <w:r w:rsidR="001E1E38">
        <w:rPr>
          <w:rFonts w:ascii="Times New Roman" w:hAnsi="Times New Roman" w:cs="Times New Roman"/>
          <w:sz w:val="24"/>
          <w:szCs w:val="24"/>
        </w:rPr>
        <w:t>haptoglobī</w:t>
      </w:r>
      <w:r w:rsidR="00306E65">
        <w:rPr>
          <w:rFonts w:ascii="Times New Roman" w:hAnsi="Times New Roman" w:cs="Times New Roman"/>
          <w:sz w:val="24"/>
          <w:szCs w:val="24"/>
        </w:rPr>
        <w:t>n</w:t>
      </w:r>
      <w:r w:rsidR="001E1E3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377B1">
        <w:rPr>
          <w:rFonts w:ascii="Times New Roman" w:hAnsi="Times New Roman" w:cs="Times New Roman"/>
          <w:sz w:val="24"/>
          <w:szCs w:val="24"/>
        </w:rPr>
        <w:t xml:space="preserve"> samazināšanās, turpinās </w:t>
      </w:r>
      <w:proofErr w:type="spellStart"/>
      <w:r w:rsidR="006377B1">
        <w:rPr>
          <w:rFonts w:ascii="Times New Roman" w:hAnsi="Times New Roman" w:cs="Times New Roman"/>
          <w:sz w:val="24"/>
          <w:szCs w:val="24"/>
        </w:rPr>
        <w:t>šistiocītu</w:t>
      </w:r>
      <w:proofErr w:type="spellEnd"/>
      <w:r w:rsidR="006377B1">
        <w:rPr>
          <w:rFonts w:ascii="Times New Roman" w:hAnsi="Times New Roman" w:cs="Times New Roman"/>
          <w:sz w:val="24"/>
          <w:szCs w:val="24"/>
        </w:rPr>
        <w:t xml:space="preserve"> % pieaugums </w:t>
      </w:r>
      <w:proofErr w:type="spellStart"/>
      <w:r w:rsidR="006377B1">
        <w:rPr>
          <w:rFonts w:ascii="Times New Roman" w:hAnsi="Times New Roman" w:cs="Times New Roman"/>
          <w:sz w:val="24"/>
          <w:szCs w:val="24"/>
        </w:rPr>
        <w:t>perifēro</w:t>
      </w:r>
      <w:proofErr w:type="spellEnd"/>
      <w:r w:rsidR="006377B1">
        <w:rPr>
          <w:rFonts w:ascii="Times New Roman" w:hAnsi="Times New Roman" w:cs="Times New Roman"/>
          <w:sz w:val="24"/>
          <w:szCs w:val="24"/>
        </w:rPr>
        <w:t xml:space="preserve"> asiņu </w:t>
      </w:r>
      <w:proofErr w:type="spellStart"/>
      <w:r w:rsidR="006377B1">
        <w:rPr>
          <w:rFonts w:ascii="Times New Roman" w:hAnsi="Times New Roman" w:cs="Times New Roman"/>
          <w:sz w:val="24"/>
          <w:szCs w:val="24"/>
        </w:rPr>
        <w:t>iztriepē</w:t>
      </w:r>
      <w:proofErr w:type="spellEnd"/>
      <w:r w:rsidR="006377B1">
        <w:rPr>
          <w:rFonts w:ascii="Times New Roman" w:hAnsi="Times New Roman" w:cs="Times New Roman"/>
          <w:sz w:val="24"/>
          <w:szCs w:val="24"/>
        </w:rPr>
        <w:t xml:space="preserve"> vai </w:t>
      </w:r>
      <w:r w:rsidR="00564E28">
        <w:rPr>
          <w:rFonts w:ascii="Times New Roman" w:hAnsi="Times New Roman" w:cs="Times New Roman"/>
          <w:sz w:val="24"/>
          <w:szCs w:val="24"/>
        </w:rPr>
        <w:t xml:space="preserve">saglabājas </w:t>
      </w:r>
      <w:r w:rsidR="006377B1">
        <w:rPr>
          <w:rFonts w:ascii="Times New Roman" w:hAnsi="Times New Roman" w:cs="Times New Roman"/>
          <w:sz w:val="24"/>
          <w:szCs w:val="24"/>
        </w:rPr>
        <w:t>termināla nieru mazspēja ar atkarību no dialīze</w:t>
      </w:r>
      <w:r w:rsidR="00564E28">
        <w:rPr>
          <w:rFonts w:ascii="Times New Roman" w:hAnsi="Times New Roman" w:cs="Times New Roman"/>
          <w:sz w:val="24"/>
          <w:szCs w:val="24"/>
        </w:rPr>
        <w:t>s)</w:t>
      </w:r>
      <w:r w:rsidR="006377B1">
        <w:rPr>
          <w:rFonts w:ascii="Times New Roman" w:hAnsi="Times New Roman" w:cs="Times New Roman"/>
          <w:sz w:val="24"/>
          <w:szCs w:val="24"/>
        </w:rPr>
        <w:t xml:space="preserve"> </w:t>
      </w:r>
      <w:r w:rsidR="00564E28">
        <w:rPr>
          <w:rFonts w:ascii="Times New Roman" w:hAnsi="Times New Roman" w:cs="Times New Roman"/>
          <w:sz w:val="24"/>
          <w:szCs w:val="24"/>
        </w:rPr>
        <w:t>3 mēnešu periodā;</w:t>
      </w:r>
      <w:r w:rsidRPr="003039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0287F" w14:textId="43B9D762" w:rsidR="00303923" w:rsidRPr="00303923" w:rsidRDefault="00303923" w:rsidP="00303923">
      <w:pPr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 xml:space="preserve">5. </w:t>
      </w:r>
      <w:r w:rsidR="006377B1">
        <w:rPr>
          <w:rFonts w:ascii="Times New Roman" w:hAnsi="Times New Roman" w:cs="Times New Roman"/>
          <w:sz w:val="24"/>
          <w:szCs w:val="24"/>
        </w:rPr>
        <w:t>Stabila</w:t>
      </w:r>
      <w:r w:rsidR="00E011A7" w:rsidRPr="00303923">
        <w:rPr>
          <w:rFonts w:ascii="Times New Roman" w:hAnsi="Times New Roman" w:cs="Times New Roman"/>
          <w:sz w:val="24"/>
          <w:szCs w:val="24"/>
        </w:rPr>
        <w:t xml:space="preserve"> TMA remisija </w:t>
      </w:r>
      <w:r w:rsidR="006377B1">
        <w:rPr>
          <w:rFonts w:ascii="Times New Roman" w:hAnsi="Times New Roman" w:cs="Times New Roman"/>
          <w:sz w:val="24"/>
          <w:szCs w:val="24"/>
        </w:rPr>
        <w:t xml:space="preserve">(normāls </w:t>
      </w:r>
      <w:proofErr w:type="spellStart"/>
      <w:r w:rsidR="006377B1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306E65">
        <w:rPr>
          <w:rFonts w:ascii="Times New Roman" w:hAnsi="Times New Roman" w:cs="Times New Roman"/>
          <w:sz w:val="24"/>
          <w:szCs w:val="24"/>
        </w:rPr>
        <w:t xml:space="preserve"> līmenis</w:t>
      </w:r>
      <w:r w:rsidR="006377B1">
        <w:rPr>
          <w:rFonts w:ascii="Times New Roman" w:hAnsi="Times New Roman" w:cs="Times New Roman"/>
          <w:sz w:val="24"/>
          <w:szCs w:val="24"/>
        </w:rPr>
        <w:t xml:space="preserve">, </w:t>
      </w:r>
      <w:r w:rsidR="00306E65">
        <w:rPr>
          <w:rFonts w:ascii="Times New Roman" w:hAnsi="Times New Roman" w:cs="Times New Roman"/>
          <w:sz w:val="24"/>
          <w:szCs w:val="24"/>
        </w:rPr>
        <w:t xml:space="preserve">normāls trombocītu skaits, </w:t>
      </w:r>
      <w:r w:rsidR="006377B1">
        <w:rPr>
          <w:rFonts w:ascii="Times New Roman" w:hAnsi="Times New Roman" w:cs="Times New Roman"/>
          <w:sz w:val="24"/>
          <w:szCs w:val="24"/>
        </w:rPr>
        <w:t xml:space="preserve">normāls LDH līmenis, normāls </w:t>
      </w:r>
      <w:proofErr w:type="spellStart"/>
      <w:r w:rsidR="006377B1">
        <w:rPr>
          <w:rFonts w:ascii="Times New Roman" w:hAnsi="Times New Roman" w:cs="Times New Roman"/>
          <w:sz w:val="24"/>
          <w:szCs w:val="24"/>
        </w:rPr>
        <w:t>haptoglobība</w:t>
      </w:r>
      <w:proofErr w:type="spellEnd"/>
      <w:r w:rsidR="006377B1">
        <w:rPr>
          <w:rFonts w:ascii="Times New Roman" w:hAnsi="Times New Roman" w:cs="Times New Roman"/>
          <w:sz w:val="24"/>
          <w:szCs w:val="24"/>
        </w:rPr>
        <w:t xml:space="preserve"> līmenis, nav konstatējami </w:t>
      </w:r>
      <w:proofErr w:type="spellStart"/>
      <w:r w:rsidR="006377B1">
        <w:rPr>
          <w:rFonts w:ascii="Times New Roman" w:hAnsi="Times New Roman" w:cs="Times New Roman"/>
          <w:sz w:val="24"/>
          <w:szCs w:val="24"/>
        </w:rPr>
        <w:t>šistiocīti</w:t>
      </w:r>
      <w:proofErr w:type="spellEnd"/>
      <w:r w:rsidR="0063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7B1">
        <w:rPr>
          <w:rFonts w:ascii="Times New Roman" w:hAnsi="Times New Roman" w:cs="Times New Roman"/>
          <w:sz w:val="24"/>
          <w:szCs w:val="24"/>
        </w:rPr>
        <w:t>perifērā</w:t>
      </w:r>
      <w:proofErr w:type="spellEnd"/>
      <w:r w:rsidR="006377B1">
        <w:rPr>
          <w:rFonts w:ascii="Times New Roman" w:hAnsi="Times New Roman" w:cs="Times New Roman"/>
          <w:sz w:val="24"/>
          <w:szCs w:val="24"/>
        </w:rPr>
        <w:t xml:space="preserve"> asiņu </w:t>
      </w:r>
      <w:proofErr w:type="spellStart"/>
      <w:r w:rsidR="006377B1">
        <w:rPr>
          <w:rFonts w:ascii="Times New Roman" w:hAnsi="Times New Roman" w:cs="Times New Roman"/>
          <w:sz w:val="24"/>
          <w:szCs w:val="24"/>
        </w:rPr>
        <w:t>iztriepē</w:t>
      </w:r>
      <w:proofErr w:type="spellEnd"/>
      <w:r w:rsidR="006377B1">
        <w:rPr>
          <w:rFonts w:ascii="Times New Roman" w:hAnsi="Times New Roman" w:cs="Times New Roman"/>
          <w:sz w:val="24"/>
          <w:szCs w:val="24"/>
        </w:rPr>
        <w:t xml:space="preserve">, stabila nieru funkcija </w:t>
      </w:r>
      <w:r w:rsidR="00306E65">
        <w:rPr>
          <w:rFonts w:ascii="Times New Roman" w:hAnsi="Times New Roman" w:cs="Times New Roman"/>
          <w:sz w:val="24"/>
          <w:szCs w:val="24"/>
        </w:rPr>
        <w:t xml:space="preserve">ar </w:t>
      </w:r>
      <w:r w:rsidR="006377B1">
        <w:rPr>
          <w:rFonts w:ascii="Times New Roman" w:hAnsi="Times New Roman" w:cs="Times New Roman"/>
          <w:sz w:val="24"/>
          <w:szCs w:val="24"/>
        </w:rPr>
        <w:t>GFĀ svārstīb</w:t>
      </w:r>
      <w:r w:rsidR="00306E65">
        <w:rPr>
          <w:rFonts w:ascii="Times New Roman" w:hAnsi="Times New Roman" w:cs="Times New Roman"/>
          <w:sz w:val="24"/>
          <w:szCs w:val="24"/>
        </w:rPr>
        <w:t>ām</w:t>
      </w:r>
      <w:r w:rsidR="006377B1">
        <w:rPr>
          <w:rFonts w:ascii="Times New Roman" w:hAnsi="Times New Roman" w:cs="Times New Roman"/>
          <w:sz w:val="24"/>
          <w:szCs w:val="24"/>
        </w:rPr>
        <w:t xml:space="preserve"> 10% robežās salīdzinot ar iepriekšējiem 6 mēnešiem) vairāk kā 2 gadus</w:t>
      </w:r>
      <w:r w:rsidR="00E011A7" w:rsidRPr="00303923">
        <w:rPr>
          <w:rFonts w:ascii="Times New Roman" w:hAnsi="Times New Roman" w:cs="Times New Roman"/>
          <w:sz w:val="24"/>
          <w:szCs w:val="24"/>
        </w:rPr>
        <w:t>;</w:t>
      </w:r>
    </w:p>
    <w:p w14:paraId="3ED99148" w14:textId="2E68F60F" w:rsidR="00E3532C" w:rsidRPr="00AC24B7" w:rsidRDefault="00BB394B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TMA </w:t>
      </w:r>
      <w:r w:rsidR="00306E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aktivācija vai </w:t>
      </w:r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komplikāciju pazīmes pēc terapijas pārtraukšanas:</w:t>
      </w:r>
    </w:p>
    <w:p w14:paraId="6F2AFF8E" w14:textId="144A2D5A" w:rsidR="00BB394B" w:rsidRPr="00AC24B7" w:rsidRDefault="00BB394B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terapija ir pārtraukta, pacients pastāvīgi jāuzrauga, jo </w:t>
      </w:r>
      <w:r w:rsidR="00306E65">
        <w:rPr>
          <w:rFonts w:ascii="Times New Roman" w:hAnsi="Times New Roman" w:cs="Times New Roman"/>
          <w:sz w:val="24"/>
          <w:szCs w:val="24"/>
        </w:rPr>
        <w:t xml:space="preserve">slimība var atkal aktivēties vai </w:t>
      </w:r>
      <w:r w:rsidRPr="00AC24B7">
        <w:rPr>
          <w:rFonts w:ascii="Times New Roman" w:hAnsi="Times New Roman" w:cs="Times New Roman"/>
          <w:sz w:val="24"/>
          <w:szCs w:val="24"/>
        </w:rPr>
        <w:t>var parādīties smagas TMA komplikācijas. Komplikācijas var noteikt, ja novēro kādu no šiem faktoriem:</w:t>
      </w:r>
    </w:p>
    <w:p w14:paraId="5F9AE4F1" w14:textId="1FD2477C" w:rsidR="00BB394B" w:rsidRPr="00AC24B7" w:rsidRDefault="00BB394B" w:rsidP="00AC24B7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b/>
          <w:bCs/>
          <w:sz w:val="24"/>
          <w:szCs w:val="24"/>
        </w:rPr>
        <w:t xml:space="preserve">Laboratoriskās pazīmes </w:t>
      </w:r>
      <w:r w:rsidRPr="00306E65">
        <w:rPr>
          <w:rFonts w:ascii="Times New Roman" w:hAnsi="Times New Roman" w:cs="Times New Roman"/>
          <w:sz w:val="24"/>
          <w:szCs w:val="24"/>
        </w:rPr>
        <w:t>(</w:t>
      </w:r>
      <w:r w:rsidR="00C5565E" w:rsidRPr="00306E65">
        <w:rPr>
          <w:rFonts w:ascii="Times New Roman" w:hAnsi="Times New Roman" w:cs="Times New Roman"/>
          <w:sz w:val="24"/>
          <w:szCs w:val="24"/>
        </w:rPr>
        <w:t xml:space="preserve">vienlaicīgi </w:t>
      </w:r>
      <w:r w:rsidRPr="00306E65">
        <w:rPr>
          <w:rFonts w:ascii="Times New Roman" w:hAnsi="Times New Roman" w:cs="Times New Roman"/>
          <w:sz w:val="24"/>
          <w:szCs w:val="24"/>
        </w:rPr>
        <w:t>vismaz 2 no š</w:t>
      </w:r>
      <w:r w:rsidR="00C5565E" w:rsidRPr="00306E65">
        <w:rPr>
          <w:rFonts w:ascii="Times New Roman" w:hAnsi="Times New Roman" w:cs="Times New Roman"/>
          <w:sz w:val="24"/>
          <w:szCs w:val="24"/>
        </w:rPr>
        <w:t>ie</w:t>
      </w:r>
      <w:r w:rsidRPr="00306E65">
        <w:rPr>
          <w:rFonts w:ascii="Times New Roman" w:hAnsi="Times New Roman" w:cs="Times New Roman"/>
          <w:sz w:val="24"/>
          <w:szCs w:val="24"/>
        </w:rPr>
        <w:t>m</w:t>
      </w:r>
      <w:r w:rsidRPr="00AC24B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C24B7">
        <w:rPr>
          <w:rFonts w:ascii="Times New Roman" w:hAnsi="Times New Roman" w:cs="Times New Roman"/>
          <w:sz w:val="24"/>
          <w:szCs w:val="24"/>
        </w:rPr>
        <w:t>:</w:t>
      </w:r>
    </w:p>
    <w:p w14:paraId="544DE337" w14:textId="77777777" w:rsidR="00BB394B" w:rsidRDefault="00BB394B" w:rsidP="00AC24B7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Trombocītu skaita samazināšanās par </w:t>
      </w:r>
      <w:r w:rsidRPr="00AC24B7">
        <w:rPr>
          <w:rFonts w:ascii="Times New Roman" w:hAnsi="Times New Roman" w:cs="Times New Roman"/>
          <w:b/>
          <w:bCs/>
          <w:sz w:val="24"/>
          <w:szCs w:val="24"/>
        </w:rPr>
        <w:t>25% vai vairāk</w:t>
      </w:r>
      <w:r w:rsidRPr="00AC24B7">
        <w:rPr>
          <w:rFonts w:ascii="Times New Roman" w:hAnsi="Times New Roman" w:cs="Times New Roman"/>
          <w:sz w:val="24"/>
          <w:szCs w:val="24"/>
        </w:rPr>
        <w:t xml:space="preserve"> no sākotnējā līmeņa.</w:t>
      </w:r>
    </w:p>
    <w:p w14:paraId="697C2A76" w14:textId="3B91BD47" w:rsidR="00306E65" w:rsidRPr="00AC24B7" w:rsidRDefault="00306E65" w:rsidP="00AC24B7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kritums zem 120 g/l</w:t>
      </w:r>
    </w:p>
    <w:p w14:paraId="42575B74" w14:textId="77777777" w:rsidR="00306E65" w:rsidRPr="00AC24B7" w:rsidRDefault="00306E65" w:rsidP="00306E65">
      <w:pPr>
        <w:pStyle w:val="Sarakstarindkop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LDH (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laktātdehidrogenāzes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) līmeņa paaugstināšanās serumā par </w:t>
      </w:r>
      <w:r w:rsidRPr="00AC24B7">
        <w:rPr>
          <w:rFonts w:ascii="Times New Roman" w:hAnsi="Times New Roman" w:cs="Times New Roman"/>
          <w:b/>
          <w:bCs/>
          <w:sz w:val="24"/>
          <w:szCs w:val="24"/>
        </w:rPr>
        <w:t>25% vai vairāk</w:t>
      </w:r>
      <w:r w:rsidRPr="00AC24B7">
        <w:rPr>
          <w:rFonts w:ascii="Times New Roman" w:hAnsi="Times New Roman" w:cs="Times New Roman"/>
          <w:sz w:val="24"/>
          <w:szCs w:val="24"/>
        </w:rPr>
        <w:t xml:space="preserve"> no sākotnējā līmeņa.</w:t>
      </w:r>
    </w:p>
    <w:p w14:paraId="4B12A3E0" w14:textId="77777777" w:rsidR="00BB394B" w:rsidRPr="00AC24B7" w:rsidRDefault="00BB394B" w:rsidP="00AC24B7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Kreatinīna līmeņa paaugstināšanās serumā par </w:t>
      </w:r>
      <w:r w:rsidRPr="00AC24B7">
        <w:rPr>
          <w:rFonts w:ascii="Times New Roman" w:hAnsi="Times New Roman" w:cs="Times New Roman"/>
          <w:b/>
          <w:bCs/>
          <w:sz w:val="24"/>
          <w:szCs w:val="24"/>
        </w:rPr>
        <w:t>25% vai vairāk</w:t>
      </w:r>
      <w:r w:rsidRPr="00AC24B7">
        <w:rPr>
          <w:rFonts w:ascii="Times New Roman" w:hAnsi="Times New Roman" w:cs="Times New Roman"/>
          <w:sz w:val="24"/>
          <w:szCs w:val="24"/>
        </w:rPr>
        <w:t xml:space="preserve"> no sākotnējā līmeņa.</w:t>
      </w:r>
    </w:p>
    <w:p w14:paraId="0A005A8F" w14:textId="4B48899F" w:rsidR="00BB394B" w:rsidRPr="00AC24B7" w:rsidRDefault="00001203" w:rsidP="00D61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v</w:t>
      </w:r>
      <w:r w:rsidR="00BB394B" w:rsidRPr="00AC24B7">
        <w:rPr>
          <w:rFonts w:ascii="Times New Roman" w:hAnsi="Times New Roman" w:cs="Times New Roman"/>
          <w:sz w:val="24"/>
          <w:szCs w:val="24"/>
        </w:rPr>
        <w:t xml:space="preserve">ai </w:t>
      </w:r>
    </w:p>
    <w:p w14:paraId="3B75CEDE" w14:textId="066B6AC7" w:rsidR="00BB394B" w:rsidRPr="00AC24B7" w:rsidRDefault="00BB394B" w:rsidP="00D61201">
      <w:pPr>
        <w:pStyle w:val="Sarakstarindkop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b/>
          <w:bCs/>
          <w:sz w:val="24"/>
          <w:szCs w:val="24"/>
        </w:rPr>
        <w:t>Jebkur</w:t>
      </w:r>
      <w:r w:rsidR="00306E65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AC24B7">
        <w:rPr>
          <w:rFonts w:ascii="Times New Roman" w:hAnsi="Times New Roman" w:cs="Times New Roman"/>
          <w:b/>
          <w:bCs/>
          <w:sz w:val="24"/>
          <w:szCs w:val="24"/>
        </w:rPr>
        <w:t xml:space="preserve"> no tālākminētajiem TMA simptomiem</w:t>
      </w:r>
      <w:r w:rsidRPr="00AC24B7">
        <w:rPr>
          <w:rFonts w:ascii="Times New Roman" w:hAnsi="Times New Roman" w:cs="Times New Roman"/>
          <w:sz w:val="24"/>
          <w:szCs w:val="24"/>
        </w:rPr>
        <w:t>:</w:t>
      </w:r>
    </w:p>
    <w:p w14:paraId="77F23B55" w14:textId="4A0136C3" w:rsidR="00001203" w:rsidRPr="00AC24B7" w:rsidRDefault="00306E65" w:rsidP="00AC24B7">
      <w:pPr>
        <w:pStyle w:val="Sarakstarindkop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Psihiskā</w:t>
      </w:r>
      <w:r w:rsidR="00BB394B" w:rsidRPr="00AC24B7">
        <w:rPr>
          <w:rFonts w:ascii="Times New Roman" w:hAnsi="Times New Roman" w:cs="Times New Roman"/>
          <w:sz w:val="24"/>
          <w:szCs w:val="24"/>
        </w:rPr>
        <w:t xml:space="preserve"> stāvokļa </w:t>
      </w:r>
      <w:r w:rsidR="00001203" w:rsidRPr="00AC24B7">
        <w:rPr>
          <w:rFonts w:ascii="Times New Roman" w:hAnsi="Times New Roman" w:cs="Times New Roman"/>
          <w:sz w:val="24"/>
          <w:szCs w:val="24"/>
        </w:rPr>
        <w:t>izmaiņas vai krampji</w:t>
      </w:r>
      <w:r>
        <w:rPr>
          <w:rFonts w:ascii="Times New Roman" w:hAnsi="Times New Roman" w:cs="Times New Roman"/>
          <w:sz w:val="24"/>
          <w:szCs w:val="24"/>
        </w:rPr>
        <w:t>;</w:t>
      </w:r>
      <w:r w:rsidR="00BB394B" w:rsidRPr="00AC2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99037" w14:textId="26C7B95B" w:rsidR="00506974" w:rsidRPr="00AC24B7" w:rsidRDefault="00506974" w:rsidP="00AC24B7">
      <w:pPr>
        <w:pStyle w:val="Sarakstarindkop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C</w:t>
      </w:r>
      <w:r w:rsidR="00BB394B" w:rsidRPr="00AC24B7">
        <w:rPr>
          <w:rFonts w:ascii="Times New Roman" w:hAnsi="Times New Roman" w:cs="Times New Roman"/>
          <w:sz w:val="24"/>
          <w:szCs w:val="24"/>
        </w:rPr>
        <w:t>itām ar nierēm nesaistīt</w:t>
      </w:r>
      <w:r w:rsidR="00306E65">
        <w:rPr>
          <w:rFonts w:ascii="Times New Roman" w:hAnsi="Times New Roman" w:cs="Times New Roman"/>
          <w:sz w:val="24"/>
          <w:szCs w:val="24"/>
        </w:rPr>
        <w:t>as</w:t>
      </w:r>
      <w:r w:rsidR="00BB394B" w:rsidRPr="00AC24B7">
        <w:rPr>
          <w:rFonts w:ascii="Times New Roman" w:hAnsi="Times New Roman" w:cs="Times New Roman"/>
          <w:sz w:val="24"/>
          <w:szCs w:val="24"/>
        </w:rPr>
        <w:t xml:space="preserve"> TMA izpaus</w:t>
      </w:r>
      <w:r w:rsidR="00306E65">
        <w:rPr>
          <w:rFonts w:ascii="Times New Roman" w:hAnsi="Times New Roman" w:cs="Times New Roman"/>
          <w:sz w:val="24"/>
          <w:szCs w:val="24"/>
        </w:rPr>
        <w:t>mes</w:t>
      </w:r>
      <w:r w:rsidR="00BB394B" w:rsidRPr="00AC24B7">
        <w:rPr>
          <w:rFonts w:ascii="Times New Roman" w:hAnsi="Times New Roman" w:cs="Times New Roman"/>
          <w:sz w:val="24"/>
          <w:szCs w:val="24"/>
        </w:rPr>
        <w:t xml:space="preserve">, tostarp </w:t>
      </w:r>
      <w:proofErr w:type="spellStart"/>
      <w:r w:rsidR="00BB394B" w:rsidRPr="00AC24B7">
        <w:rPr>
          <w:rFonts w:ascii="Times New Roman" w:hAnsi="Times New Roman" w:cs="Times New Roman"/>
          <w:sz w:val="24"/>
          <w:szCs w:val="24"/>
        </w:rPr>
        <w:t>kardiovaskulār</w:t>
      </w:r>
      <w:r w:rsidR="00306E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BB394B" w:rsidRPr="00AC24B7">
        <w:rPr>
          <w:rFonts w:ascii="Times New Roman" w:hAnsi="Times New Roman" w:cs="Times New Roman"/>
          <w:sz w:val="24"/>
          <w:szCs w:val="24"/>
        </w:rPr>
        <w:t xml:space="preserve"> pataloģij</w:t>
      </w:r>
      <w:r w:rsidR="00306E65">
        <w:rPr>
          <w:rFonts w:ascii="Times New Roman" w:hAnsi="Times New Roman" w:cs="Times New Roman"/>
          <w:sz w:val="24"/>
          <w:szCs w:val="24"/>
        </w:rPr>
        <w:t>as</w:t>
      </w:r>
      <w:r w:rsidR="00BB394B" w:rsidRPr="00AC24B7">
        <w:rPr>
          <w:rFonts w:ascii="Times New Roman" w:hAnsi="Times New Roman" w:cs="Times New Roman"/>
          <w:sz w:val="24"/>
          <w:szCs w:val="24"/>
        </w:rPr>
        <w:t xml:space="preserve">, </w:t>
      </w:r>
      <w:r w:rsidR="00306E65">
        <w:rPr>
          <w:rFonts w:ascii="Times New Roman" w:hAnsi="Times New Roman" w:cs="Times New Roman"/>
          <w:sz w:val="24"/>
          <w:szCs w:val="24"/>
        </w:rPr>
        <w:t xml:space="preserve">piemēram, </w:t>
      </w:r>
      <w:r w:rsidR="00BB394B" w:rsidRPr="00AC24B7">
        <w:rPr>
          <w:rFonts w:ascii="Times New Roman" w:hAnsi="Times New Roman" w:cs="Times New Roman"/>
          <w:sz w:val="24"/>
          <w:szCs w:val="24"/>
        </w:rPr>
        <w:t>perikardīt</w:t>
      </w:r>
      <w:r w:rsidR="00306E65">
        <w:rPr>
          <w:rFonts w:ascii="Times New Roman" w:hAnsi="Times New Roman" w:cs="Times New Roman"/>
          <w:sz w:val="24"/>
          <w:szCs w:val="24"/>
        </w:rPr>
        <w:t>s</w:t>
      </w:r>
      <w:r w:rsidR="00BB394B" w:rsidRPr="00AC24B7">
        <w:rPr>
          <w:rFonts w:ascii="Times New Roman" w:hAnsi="Times New Roman" w:cs="Times New Roman"/>
          <w:sz w:val="24"/>
          <w:szCs w:val="24"/>
        </w:rPr>
        <w:t>, ar kuņģa-zarnu traktu saistīt</w:t>
      </w:r>
      <w:r w:rsidR="00306E65">
        <w:rPr>
          <w:rFonts w:ascii="Times New Roman" w:hAnsi="Times New Roman" w:cs="Times New Roman"/>
          <w:sz w:val="24"/>
          <w:szCs w:val="24"/>
        </w:rPr>
        <w:t>a</w:t>
      </w:r>
      <w:r w:rsidR="00BB394B" w:rsidRPr="00AC24B7">
        <w:rPr>
          <w:rFonts w:ascii="Times New Roman" w:hAnsi="Times New Roman" w:cs="Times New Roman"/>
          <w:sz w:val="24"/>
          <w:szCs w:val="24"/>
        </w:rPr>
        <w:t xml:space="preserve"> </w:t>
      </w:r>
      <w:r w:rsidR="00306E65">
        <w:rPr>
          <w:rFonts w:ascii="Times New Roman" w:hAnsi="Times New Roman" w:cs="Times New Roman"/>
          <w:sz w:val="24"/>
          <w:szCs w:val="24"/>
        </w:rPr>
        <w:t xml:space="preserve">patoloģija, piemēram, </w:t>
      </w:r>
      <w:r w:rsidR="00BB394B" w:rsidRPr="00AC24B7">
        <w:rPr>
          <w:rFonts w:ascii="Times New Roman" w:hAnsi="Times New Roman" w:cs="Times New Roman"/>
          <w:sz w:val="24"/>
          <w:szCs w:val="24"/>
        </w:rPr>
        <w:t>caurejas</w:t>
      </w:r>
      <w:r w:rsidR="00306E65">
        <w:rPr>
          <w:rFonts w:ascii="Times New Roman" w:hAnsi="Times New Roman" w:cs="Times New Roman"/>
          <w:sz w:val="24"/>
          <w:szCs w:val="24"/>
        </w:rPr>
        <w:t>;</w:t>
      </w:r>
    </w:p>
    <w:p w14:paraId="7BBF40F7" w14:textId="781F5F4C" w:rsidR="00BB394B" w:rsidRPr="00AC24B7" w:rsidRDefault="00506974" w:rsidP="00AC24B7">
      <w:pPr>
        <w:pStyle w:val="Sarakstarindkop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T</w:t>
      </w:r>
      <w:r w:rsidR="00BB394B" w:rsidRPr="00AC24B7">
        <w:rPr>
          <w:rFonts w:ascii="Times New Roman" w:hAnsi="Times New Roman" w:cs="Times New Roman"/>
          <w:sz w:val="24"/>
          <w:szCs w:val="24"/>
        </w:rPr>
        <w:t>rombozes</w:t>
      </w:r>
      <w:r w:rsidRPr="00AC24B7">
        <w:rPr>
          <w:rFonts w:ascii="Times New Roman" w:hAnsi="Times New Roman" w:cs="Times New Roman"/>
          <w:sz w:val="24"/>
          <w:szCs w:val="24"/>
        </w:rPr>
        <w:t>.</w:t>
      </w:r>
    </w:p>
    <w:p w14:paraId="6AACE042" w14:textId="0266ED65" w:rsidR="00C25F00" w:rsidRPr="00D61201" w:rsidRDefault="00766E4B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4B7">
        <w:rPr>
          <w:rFonts w:ascii="Times New Roman" w:hAnsi="Times New Roman" w:cs="Times New Roman"/>
          <w:b/>
          <w:bCs/>
          <w:sz w:val="24"/>
          <w:szCs w:val="24"/>
        </w:rPr>
        <w:t xml:space="preserve">Svarīgi! </w:t>
      </w:r>
    </w:p>
    <w:p w14:paraId="11AEF12F" w14:textId="4C5E5465" w:rsidR="00A656ED" w:rsidRPr="00AC24B7" w:rsidRDefault="00A656ED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D61201">
        <w:rPr>
          <w:rFonts w:ascii="Times New Roman" w:hAnsi="Times New Roman" w:cs="Times New Roman"/>
          <w:sz w:val="24"/>
          <w:szCs w:val="24"/>
        </w:rPr>
        <w:t xml:space="preserve">Ja TMA komplikācijas rodas pēc </w:t>
      </w:r>
      <w:proofErr w:type="spellStart"/>
      <w:r w:rsidR="009A75AC" w:rsidRPr="00D6120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61201">
        <w:rPr>
          <w:rFonts w:ascii="Times New Roman" w:hAnsi="Times New Roman" w:cs="Times New Roman"/>
          <w:i/>
          <w:iCs/>
          <w:sz w:val="24"/>
          <w:szCs w:val="24"/>
        </w:rPr>
        <w:t>avulizumab</w:t>
      </w:r>
      <w:r w:rsidR="009A75AC" w:rsidRPr="00D61201">
        <w:rPr>
          <w:rFonts w:ascii="Times New Roman" w:hAnsi="Times New Roman" w:cs="Times New Roman"/>
          <w:i/>
          <w:iCs/>
          <w:sz w:val="24"/>
          <w:szCs w:val="24"/>
        </w:rPr>
        <w:t>um</w:t>
      </w:r>
      <w:proofErr w:type="spellEnd"/>
      <w:r w:rsidRPr="00D61201">
        <w:rPr>
          <w:rFonts w:ascii="Times New Roman" w:hAnsi="Times New Roman" w:cs="Times New Roman"/>
          <w:sz w:val="24"/>
          <w:szCs w:val="24"/>
        </w:rPr>
        <w:t xml:space="preserve"> lietošanas pārtraukšanas, jāapsver ārstēšanas </w:t>
      </w:r>
      <w:r w:rsidR="00306E65">
        <w:rPr>
          <w:rFonts w:ascii="Times New Roman" w:hAnsi="Times New Roman" w:cs="Times New Roman"/>
          <w:sz w:val="24"/>
          <w:szCs w:val="24"/>
        </w:rPr>
        <w:t>atsākšana</w:t>
      </w:r>
      <w:r w:rsidRPr="00D61201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="00D61201" w:rsidRPr="00D6120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61201">
        <w:rPr>
          <w:rFonts w:ascii="Times New Roman" w:hAnsi="Times New Roman" w:cs="Times New Roman"/>
          <w:i/>
          <w:iCs/>
          <w:sz w:val="24"/>
          <w:szCs w:val="24"/>
        </w:rPr>
        <w:t>avulizumabu</w:t>
      </w:r>
      <w:r w:rsidR="00D61201" w:rsidRPr="00D61201">
        <w:rPr>
          <w:rFonts w:ascii="Times New Roman" w:hAnsi="Times New Roman" w:cs="Times New Roman"/>
          <w:i/>
          <w:iCs/>
          <w:sz w:val="24"/>
          <w:szCs w:val="24"/>
        </w:rPr>
        <w:t>m</w:t>
      </w:r>
      <w:proofErr w:type="spellEnd"/>
      <w:r w:rsidRPr="00D61201">
        <w:rPr>
          <w:rFonts w:ascii="Times New Roman" w:hAnsi="Times New Roman" w:cs="Times New Roman"/>
          <w:sz w:val="24"/>
          <w:szCs w:val="24"/>
        </w:rPr>
        <w:t>, sākot ar piesātinošo devu un</w:t>
      </w:r>
      <w:r w:rsidR="00306E65">
        <w:rPr>
          <w:rFonts w:ascii="Times New Roman" w:hAnsi="Times New Roman" w:cs="Times New Roman"/>
          <w:sz w:val="24"/>
          <w:szCs w:val="24"/>
        </w:rPr>
        <w:t xml:space="preserve"> tad sekojošām</w:t>
      </w:r>
      <w:r w:rsidRPr="00D61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01">
        <w:rPr>
          <w:rFonts w:ascii="Times New Roman" w:hAnsi="Times New Roman" w:cs="Times New Roman"/>
          <w:sz w:val="24"/>
          <w:szCs w:val="24"/>
        </w:rPr>
        <w:t>balstdev</w:t>
      </w:r>
      <w:r w:rsidR="00306E65">
        <w:rPr>
          <w:rFonts w:ascii="Times New Roman" w:hAnsi="Times New Roman" w:cs="Times New Roman"/>
          <w:sz w:val="24"/>
          <w:szCs w:val="24"/>
        </w:rPr>
        <w:t>ām</w:t>
      </w:r>
      <w:proofErr w:type="spellEnd"/>
      <w:r w:rsidRPr="00D61201">
        <w:rPr>
          <w:rFonts w:ascii="Times New Roman" w:hAnsi="Times New Roman" w:cs="Times New Roman"/>
          <w:sz w:val="24"/>
          <w:szCs w:val="24"/>
        </w:rPr>
        <w:t>.</w:t>
      </w:r>
    </w:p>
    <w:p w14:paraId="7AD17DE7" w14:textId="63033430" w:rsidR="00766E4B" w:rsidRPr="00AC24B7" w:rsidRDefault="00476D96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Ravulizumabum</w:t>
      </w:r>
      <w:proofErr w:type="spellEnd"/>
      <w:r w:rsidR="00766E4B"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lietošanas kontrindikācijas: </w:t>
      </w:r>
    </w:p>
    <w:p w14:paraId="5ABB56D4" w14:textId="77777777" w:rsidR="001C10A1" w:rsidRPr="00AC24B7" w:rsidRDefault="001C10A1" w:rsidP="00AC24B7">
      <w:pPr>
        <w:pStyle w:val="Default"/>
        <w:numPr>
          <w:ilvl w:val="0"/>
          <w:numId w:val="6"/>
        </w:numPr>
        <w:jc w:val="both"/>
      </w:pPr>
      <w:r w:rsidRPr="00AC24B7">
        <w:t xml:space="preserve">Aktīva </w:t>
      </w:r>
      <w:proofErr w:type="spellStart"/>
      <w:r w:rsidRPr="00AC24B7">
        <w:t>meningokoku</w:t>
      </w:r>
      <w:proofErr w:type="spellEnd"/>
      <w:r w:rsidRPr="00AC24B7">
        <w:t xml:space="preserve"> vai </w:t>
      </w:r>
      <w:proofErr w:type="spellStart"/>
      <w:r w:rsidRPr="00AC24B7">
        <w:t>endokapsulāra</w:t>
      </w:r>
      <w:proofErr w:type="spellEnd"/>
      <w:r w:rsidRPr="00AC24B7">
        <w:t xml:space="preserve"> bakteriāla infekcija. </w:t>
      </w:r>
    </w:p>
    <w:p w14:paraId="23CA4E32" w14:textId="15C8F8BA" w:rsidR="001C10A1" w:rsidRPr="00AC24B7" w:rsidRDefault="00476D96" w:rsidP="00AC24B7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Pacienti, kuri pašlaik nav vakcinēti pret </w:t>
      </w: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Neisseria</w:t>
      </w:r>
      <w:proofErr w:type="spellEnd"/>
      <w:r w:rsidRPr="00AC24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meningitidis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>, izņemot, ja pacientus profilaktiski ārstē ar piemērotām antibiotikām, līdz 2 nedēļām pēc vakcinācijas.</w:t>
      </w:r>
    </w:p>
    <w:p w14:paraId="43C2A976" w14:textId="1A49B052" w:rsidR="00840E75" w:rsidRPr="00974F23" w:rsidRDefault="001C10A1" w:rsidP="00AC24B7">
      <w:pPr>
        <w:pStyle w:val="Default"/>
        <w:numPr>
          <w:ilvl w:val="0"/>
          <w:numId w:val="6"/>
        </w:numPr>
        <w:jc w:val="both"/>
      </w:pPr>
      <w:r w:rsidRPr="00AC24B7">
        <w:t xml:space="preserve">Grūtniecība. </w:t>
      </w:r>
      <w:proofErr w:type="spellStart"/>
      <w:r w:rsidRPr="00AC24B7">
        <w:rPr>
          <w:i/>
          <w:iCs/>
        </w:rPr>
        <w:t>Ravulizumab</w:t>
      </w:r>
      <w:r w:rsidR="00AC24B7">
        <w:rPr>
          <w:i/>
          <w:iCs/>
        </w:rPr>
        <w:t>um</w:t>
      </w:r>
      <w:proofErr w:type="spellEnd"/>
      <w:r w:rsidRPr="00AC24B7">
        <w:rPr>
          <w:i/>
          <w:iCs/>
        </w:rPr>
        <w:t xml:space="preserve"> izmantošana grūtniecības laikā nav plaši pētīta. Ja pastāv aizdomas par </w:t>
      </w:r>
      <w:proofErr w:type="spellStart"/>
      <w:r w:rsidRPr="00AC24B7">
        <w:rPr>
          <w:i/>
          <w:iCs/>
        </w:rPr>
        <w:t>aHUS</w:t>
      </w:r>
      <w:proofErr w:type="spellEnd"/>
      <w:r w:rsidRPr="00AC24B7">
        <w:rPr>
          <w:i/>
          <w:iCs/>
        </w:rPr>
        <w:t xml:space="preserve">, tad izvēles medikaments, balstoties uz esošajiem pētījumiem ir </w:t>
      </w:r>
      <w:proofErr w:type="spellStart"/>
      <w:r w:rsidRPr="00AC24B7">
        <w:rPr>
          <w:i/>
          <w:iCs/>
        </w:rPr>
        <w:t>Eculizumabum</w:t>
      </w:r>
      <w:proofErr w:type="spellEnd"/>
      <w:r w:rsidRPr="00AC24B7">
        <w:rPr>
          <w:i/>
          <w:iCs/>
        </w:rPr>
        <w:t xml:space="preserve">!) </w:t>
      </w:r>
    </w:p>
    <w:p w14:paraId="076C6E60" w14:textId="77777777" w:rsidR="00974F23" w:rsidRPr="00974F23" w:rsidRDefault="00974F23" w:rsidP="00974F23">
      <w:pPr>
        <w:pStyle w:val="Default"/>
        <w:ind w:left="720"/>
        <w:jc w:val="both"/>
      </w:pPr>
    </w:p>
    <w:p w14:paraId="6830497A" w14:textId="21C35024" w:rsidR="00B67767" w:rsidRPr="00AC24B7" w:rsidRDefault="00B67767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Eculizumabum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pāreja uz </w:t>
      </w: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Ravulizumabum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pacientiem ar </w:t>
      </w: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aHUS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8CBD91C" w14:textId="45438B95" w:rsidR="00303923" w:rsidRPr="00B67767" w:rsidRDefault="00B67767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B67767">
        <w:rPr>
          <w:rFonts w:ascii="Times New Roman" w:hAnsi="Times New Roman" w:cs="Times New Roman"/>
          <w:sz w:val="24"/>
          <w:szCs w:val="24"/>
        </w:rPr>
        <w:t xml:space="preserve">Pacientus ar iepriekš apstiprinātu </w:t>
      </w:r>
      <w:proofErr w:type="spellStart"/>
      <w:r w:rsidRPr="00B67767">
        <w:rPr>
          <w:rFonts w:ascii="Times New Roman" w:hAnsi="Times New Roman" w:cs="Times New Roman"/>
          <w:sz w:val="24"/>
          <w:szCs w:val="24"/>
        </w:rPr>
        <w:t>atipisko</w:t>
      </w:r>
      <w:proofErr w:type="spellEnd"/>
      <w:r w:rsidRPr="00B67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767">
        <w:rPr>
          <w:rFonts w:ascii="Times New Roman" w:hAnsi="Times New Roman" w:cs="Times New Roman"/>
          <w:sz w:val="24"/>
          <w:szCs w:val="24"/>
        </w:rPr>
        <w:t>hemolītiski</w:t>
      </w:r>
      <w:proofErr w:type="spellEnd"/>
      <w:r w:rsidRPr="00B67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767">
        <w:rPr>
          <w:rFonts w:ascii="Times New Roman" w:hAnsi="Times New Roman" w:cs="Times New Roman"/>
          <w:sz w:val="24"/>
          <w:szCs w:val="24"/>
        </w:rPr>
        <w:t>urēmisko</w:t>
      </w:r>
      <w:proofErr w:type="spellEnd"/>
      <w:r w:rsidRPr="00B67767">
        <w:rPr>
          <w:rFonts w:ascii="Times New Roman" w:hAnsi="Times New Roman" w:cs="Times New Roman"/>
          <w:sz w:val="24"/>
          <w:szCs w:val="24"/>
        </w:rPr>
        <w:t xml:space="preserve"> sindromu (</w:t>
      </w:r>
      <w:proofErr w:type="spellStart"/>
      <w:r w:rsidRPr="00B6776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B67767">
        <w:rPr>
          <w:rFonts w:ascii="Times New Roman" w:hAnsi="Times New Roman" w:cs="Times New Roman"/>
          <w:sz w:val="24"/>
          <w:szCs w:val="24"/>
        </w:rPr>
        <w:t xml:space="preserve">), kuri </w:t>
      </w:r>
      <w:r w:rsidR="009C2120">
        <w:rPr>
          <w:rFonts w:ascii="Times New Roman" w:hAnsi="Times New Roman" w:cs="Times New Roman"/>
          <w:sz w:val="24"/>
          <w:szCs w:val="24"/>
        </w:rPr>
        <w:t xml:space="preserve">vismaz 3 mēnešus ir saņēmuši </w:t>
      </w:r>
      <w:proofErr w:type="spellStart"/>
      <w:r w:rsidR="009C2120" w:rsidRPr="00D61201">
        <w:rPr>
          <w:rFonts w:ascii="Times New Roman" w:hAnsi="Times New Roman" w:cs="Times New Roman"/>
          <w:i/>
          <w:iCs/>
          <w:sz w:val="24"/>
          <w:szCs w:val="24"/>
        </w:rPr>
        <w:t>Eculizumabum</w:t>
      </w:r>
      <w:proofErr w:type="spellEnd"/>
      <w:r w:rsidRPr="00B67767">
        <w:rPr>
          <w:rFonts w:ascii="Times New Roman" w:hAnsi="Times New Roman" w:cs="Times New Roman"/>
          <w:sz w:val="24"/>
          <w:szCs w:val="24"/>
        </w:rPr>
        <w:t xml:space="preserve">, klīniski pamatotos gadījumos var droši konvertēt uz </w:t>
      </w:r>
      <w:proofErr w:type="spellStart"/>
      <w:r w:rsidR="00B66C0F" w:rsidRPr="00D6120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61201">
        <w:rPr>
          <w:rFonts w:ascii="Times New Roman" w:hAnsi="Times New Roman" w:cs="Times New Roman"/>
          <w:i/>
          <w:iCs/>
          <w:sz w:val="24"/>
          <w:szCs w:val="24"/>
        </w:rPr>
        <w:t>avulizumabu</w:t>
      </w:r>
      <w:r w:rsidR="00D61201" w:rsidRPr="00D61201">
        <w:rPr>
          <w:rFonts w:ascii="Times New Roman" w:hAnsi="Times New Roman" w:cs="Times New Roman"/>
          <w:i/>
          <w:iCs/>
          <w:sz w:val="24"/>
          <w:szCs w:val="24"/>
        </w:rPr>
        <w:t>m</w:t>
      </w:r>
      <w:proofErr w:type="spellEnd"/>
      <w:r w:rsidRPr="00B67767">
        <w:rPr>
          <w:rFonts w:ascii="Times New Roman" w:hAnsi="Times New Roman" w:cs="Times New Roman"/>
          <w:sz w:val="24"/>
          <w:szCs w:val="24"/>
        </w:rPr>
        <w:t>.</w:t>
      </w:r>
    </w:p>
    <w:p w14:paraId="44210DE2" w14:textId="5A81A578" w:rsidR="00766E4B" w:rsidRPr="00AC24B7" w:rsidRDefault="004028D2" w:rsidP="00AC24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4B7">
        <w:rPr>
          <w:rFonts w:ascii="Times New Roman" w:hAnsi="Times New Roman" w:cs="Times New Roman"/>
          <w:b/>
          <w:bCs/>
          <w:sz w:val="24"/>
          <w:szCs w:val="24"/>
        </w:rPr>
        <w:t>Atsauces:</w:t>
      </w:r>
    </w:p>
    <w:p w14:paraId="69E4E040" w14:textId="36A6CE75" w:rsidR="00B67767" w:rsidRPr="00AC24B7" w:rsidRDefault="00B67767" w:rsidP="00AC24B7">
      <w:pPr>
        <w:pStyle w:val="Sarakstarindkop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NICE [TA710] “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Ravulizumab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treating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atypical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haemolytic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uraemic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>” 2021.</w:t>
      </w:r>
    </w:p>
    <w:p w14:paraId="76E82E64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Gäckler</w:t>
      </w:r>
      <w:proofErr w:type="spellEnd"/>
      <w:r w:rsidRPr="00AC24B7">
        <w:t xml:space="preserve"> A, </w:t>
      </w:r>
      <w:proofErr w:type="spellStart"/>
      <w:r w:rsidRPr="00AC24B7">
        <w:t>Schönermarck</w:t>
      </w:r>
      <w:proofErr w:type="spellEnd"/>
      <w:r w:rsidRPr="00AC24B7">
        <w:t xml:space="preserve"> U, </w:t>
      </w:r>
      <w:proofErr w:type="spellStart"/>
      <w:r w:rsidRPr="00AC24B7">
        <w:t>Dobronravov</w:t>
      </w:r>
      <w:proofErr w:type="spellEnd"/>
      <w:r w:rsidRPr="00AC24B7">
        <w:t xml:space="preserve"> V, </w:t>
      </w:r>
      <w:proofErr w:type="spellStart"/>
      <w:r w:rsidRPr="00AC24B7">
        <w:t>et</w:t>
      </w:r>
      <w:proofErr w:type="spellEnd"/>
      <w:r w:rsidRPr="00AC24B7">
        <w:t xml:space="preserve"> </w:t>
      </w:r>
      <w:proofErr w:type="spellStart"/>
      <w:r w:rsidRPr="00AC24B7">
        <w:t>al</w:t>
      </w:r>
      <w:proofErr w:type="spellEnd"/>
      <w:r w:rsidRPr="00AC24B7">
        <w:t xml:space="preserve">. </w:t>
      </w:r>
      <w:proofErr w:type="spellStart"/>
      <w:r w:rsidRPr="00AC24B7">
        <w:t>Efficacy</w:t>
      </w:r>
      <w:proofErr w:type="spellEnd"/>
      <w:r w:rsidRPr="00AC24B7">
        <w:t xml:space="preserve">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safety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aHUS</w:t>
      </w:r>
      <w:proofErr w:type="spellEnd"/>
      <w:r w:rsidRPr="00AC24B7">
        <w:t xml:space="preserve"> </w:t>
      </w:r>
      <w:proofErr w:type="spellStart"/>
      <w:r w:rsidRPr="00AC24B7">
        <w:t>triggered</w:t>
      </w:r>
      <w:proofErr w:type="spellEnd"/>
      <w:r w:rsidRPr="00AC24B7">
        <w:t xml:space="preserve"> </w:t>
      </w:r>
      <w:proofErr w:type="spellStart"/>
      <w:r w:rsidRPr="00AC24B7">
        <w:t>by</w:t>
      </w:r>
      <w:proofErr w:type="spellEnd"/>
      <w:r w:rsidRPr="00AC24B7">
        <w:t xml:space="preserve"> </w:t>
      </w:r>
      <w:proofErr w:type="spellStart"/>
      <w:r w:rsidRPr="00AC24B7">
        <w:t>pregnancy</w:t>
      </w:r>
      <w:proofErr w:type="spellEnd"/>
      <w:r w:rsidRPr="00AC24B7">
        <w:t xml:space="preserve">: </w:t>
      </w:r>
      <w:proofErr w:type="spellStart"/>
      <w:r w:rsidRPr="00AC24B7">
        <w:t>subgroup</w:t>
      </w:r>
      <w:proofErr w:type="spellEnd"/>
      <w:r w:rsidRPr="00AC24B7">
        <w:t xml:space="preserve"> </w:t>
      </w:r>
      <w:proofErr w:type="spellStart"/>
      <w:r w:rsidRPr="00AC24B7">
        <w:t>analysis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a </w:t>
      </w:r>
      <w:proofErr w:type="spellStart"/>
      <w:r w:rsidRPr="00AC24B7">
        <w:t>phase</w:t>
      </w:r>
      <w:proofErr w:type="spellEnd"/>
      <w:r w:rsidRPr="00AC24B7">
        <w:t xml:space="preserve"> 3 </w:t>
      </w:r>
      <w:proofErr w:type="spellStart"/>
      <w:r w:rsidRPr="00AC24B7">
        <w:t>study</w:t>
      </w:r>
      <w:proofErr w:type="spellEnd"/>
      <w:r w:rsidRPr="00AC24B7">
        <w:t xml:space="preserve">. </w:t>
      </w:r>
      <w:r w:rsidRPr="00AC24B7">
        <w:rPr>
          <w:i/>
          <w:iCs/>
        </w:rPr>
        <w:t xml:space="preserve">BMC </w:t>
      </w:r>
      <w:proofErr w:type="spellStart"/>
      <w:r w:rsidRPr="00AC24B7">
        <w:rPr>
          <w:i/>
          <w:iCs/>
        </w:rPr>
        <w:t>Nephrol</w:t>
      </w:r>
      <w:proofErr w:type="spellEnd"/>
      <w:r w:rsidRPr="00AC24B7">
        <w:rPr>
          <w:i/>
          <w:iCs/>
        </w:rPr>
        <w:t xml:space="preserve">. </w:t>
      </w:r>
      <w:r w:rsidRPr="00AC24B7">
        <w:t xml:space="preserve">2021;22:5. doi:10.1186/s12882-020-02190-0. </w:t>
      </w:r>
    </w:p>
    <w:p w14:paraId="779538D4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Ariceta</w:t>
      </w:r>
      <w:proofErr w:type="spellEnd"/>
      <w:r w:rsidRPr="00AC24B7">
        <w:t xml:space="preserve"> G, </w:t>
      </w:r>
      <w:proofErr w:type="spellStart"/>
      <w:r w:rsidRPr="00AC24B7">
        <w:t>Dixon</w:t>
      </w:r>
      <w:proofErr w:type="spellEnd"/>
      <w:r w:rsidRPr="00AC24B7">
        <w:t xml:space="preserve"> BP, Kim SH, </w:t>
      </w:r>
      <w:proofErr w:type="spellStart"/>
      <w:r w:rsidRPr="00AC24B7">
        <w:t>et</w:t>
      </w:r>
      <w:proofErr w:type="spellEnd"/>
      <w:r w:rsidRPr="00AC24B7">
        <w:t xml:space="preserve"> </w:t>
      </w:r>
      <w:proofErr w:type="spellStart"/>
      <w:r w:rsidRPr="00AC24B7">
        <w:t>al</w:t>
      </w:r>
      <w:proofErr w:type="spellEnd"/>
      <w:r w:rsidRPr="00AC24B7">
        <w:t xml:space="preserve">. </w:t>
      </w:r>
      <w:proofErr w:type="spellStart"/>
      <w:r w:rsidRPr="00AC24B7">
        <w:t>The</w:t>
      </w:r>
      <w:proofErr w:type="spellEnd"/>
      <w:r w:rsidRPr="00AC24B7">
        <w:t xml:space="preserve"> </w:t>
      </w:r>
      <w:proofErr w:type="spellStart"/>
      <w:r w:rsidRPr="00AC24B7">
        <w:t>long-acting</w:t>
      </w:r>
      <w:proofErr w:type="spellEnd"/>
      <w:r w:rsidRPr="00AC24B7">
        <w:t xml:space="preserve"> C5 inhibitor, </w:t>
      </w:r>
      <w:proofErr w:type="spellStart"/>
      <w:r w:rsidRPr="00AC24B7">
        <w:t>ravulizumab</w:t>
      </w:r>
      <w:proofErr w:type="spellEnd"/>
      <w:r w:rsidRPr="00AC24B7">
        <w:t xml:space="preserve">, </w:t>
      </w:r>
      <w:proofErr w:type="spellStart"/>
      <w:r w:rsidRPr="00AC24B7">
        <w:t>is</w:t>
      </w:r>
      <w:proofErr w:type="spellEnd"/>
      <w:r w:rsidRPr="00AC24B7">
        <w:t xml:space="preserve"> </w:t>
      </w:r>
      <w:proofErr w:type="spellStart"/>
      <w:r w:rsidRPr="00AC24B7">
        <w:t>effective</w:t>
      </w:r>
      <w:proofErr w:type="spellEnd"/>
      <w:r w:rsidRPr="00AC24B7">
        <w:t xml:space="preserve">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safe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pediatric</w:t>
      </w:r>
      <w:proofErr w:type="spellEnd"/>
      <w:r w:rsidRPr="00AC24B7">
        <w:t xml:space="preserve"> </w:t>
      </w:r>
      <w:proofErr w:type="spellStart"/>
      <w:r w:rsidRPr="00AC24B7">
        <w:t>patients</w:t>
      </w:r>
      <w:proofErr w:type="spellEnd"/>
      <w:r w:rsidRPr="00AC24B7">
        <w:t xml:space="preserve"> </w:t>
      </w:r>
      <w:proofErr w:type="spellStart"/>
      <w:r w:rsidRPr="00AC24B7">
        <w:t>with</w:t>
      </w:r>
      <w:proofErr w:type="spellEnd"/>
      <w:r w:rsidRPr="00AC24B7">
        <w:t xml:space="preserve"> </w:t>
      </w:r>
      <w:proofErr w:type="spellStart"/>
      <w:r w:rsidRPr="00AC24B7">
        <w:t>aHUS</w:t>
      </w:r>
      <w:proofErr w:type="spellEnd"/>
      <w:r w:rsidRPr="00AC24B7">
        <w:t xml:space="preserve"> </w:t>
      </w:r>
      <w:proofErr w:type="spellStart"/>
      <w:r w:rsidRPr="00AC24B7">
        <w:t>naïve</w:t>
      </w:r>
      <w:proofErr w:type="spellEnd"/>
      <w:r w:rsidRPr="00AC24B7">
        <w:t xml:space="preserve"> to </w:t>
      </w:r>
      <w:proofErr w:type="spellStart"/>
      <w:r w:rsidRPr="00AC24B7">
        <w:t>complement</w:t>
      </w:r>
      <w:proofErr w:type="spellEnd"/>
      <w:r w:rsidRPr="00AC24B7">
        <w:t xml:space="preserve"> inhibitor </w:t>
      </w:r>
      <w:proofErr w:type="spellStart"/>
      <w:r w:rsidRPr="00AC24B7">
        <w:t>treatment</w:t>
      </w:r>
      <w:proofErr w:type="spellEnd"/>
      <w:r w:rsidRPr="00AC24B7">
        <w:t xml:space="preserve">. </w:t>
      </w:r>
      <w:proofErr w:type="spellStart"/>
      <w:r w:rsidRPr="00AC24B7">
        <w:rPr>
          <w:i/>
          <w:iCs/>
        </w:rPr>
        <w:t>Kidney</w:t>
      </w:r>
      <w:proofErr w:type="spellEnd"/>
      <w:r w:rsidRPr="00AC24B7">
        <w:rPr>
          <w:i/>
          <w:iCs/>
        </w:rPr>
        <w:t xml:space="preserve"> Int. </w:t>
      </w:r>
      <w:r w:rsidRPr="00AC24B7">
        <w:t xml:space="preserve">2021;100(1):225-237. doi:10.1016/j.kint.2020.10.046. </w:t>
      </w:r>
    </w:p>
    <w:p w14:paraId="15D79B7C" w14:textId="7D7A042A" w:rsidR="00B67767" w:rsidRPr="00AC24B7" w:rsidRDefault="00B67767" w:rsidP="00AC24B7">
      <w:pPr>
        <w:pStyle w:val="Sarakstarindkop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sz w:val="24"/>
          <w:szCs w:val="24"/>
        </w:rPr>
        <w:t>Cammett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TJ,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Garlo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Millman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EE,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Toste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CM,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Faas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SJ.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Exploratory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prognostic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biomarkers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complement-mediated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thrombotic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microangiopathy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(CM-TMA)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atypical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hemolytic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uremic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Ravulizumab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. Mol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Diagn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>. 2023.</w:t>
      </w:r>
    </w:p>
    <w:p w14:paraId="7266DF61" w14:textId="094798BE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Ávila</w:t>
      </w:r>
      <w:proofErr w:type="spellEnd"/>
      <w:r w:rsidRPr="00AC24B7">
        <w:t xml:space="preserve"> A, </w:t>
      </w:r>
      <w:proofErr w:type="spellStart"/>
      <w:r w:rsidRPr="00AC24B7">
        <w:t>Cao</w:t>
      </w:r>
      <w:proofErr w:type="spellEnd"/>
      <w:r w:rsidRPr="00AC24B7">
        <w:t xml:space="preserve"> M, </w:t>
      </w:r>
      <w:proofErr w:type="spellStart"/>
      <w:r w:rsidRPr="00AC24B7">
        <w:t>Espinosa</w:t>
      </w:r>
      <w:proofErr w:type="spellEnd"/>
      <w:r w:rsidRPr="00AC24B7">
        <w:t xml:space="preserve"> M, </w:t>
      </w:r>
      <w:proofErr w:type="spellStart"/>
      <w:r w:rsidRPr="00AC24B7">
        <w:t>Manrique</w:t>
      </w:r>
      <w:proofErr w:type="spellEnd"/>
      <w:r w:rsidRPr="00AC24B7">
        <w:t xml:space="preserve"> J, Morales E. </w:t>
      </w:r>
      <w:proofErr w:type="spellStart"/>
      <w:r w:rsidRPr="00AC24B7">
        <w:t>Recommendations</w:t>
      </w:r>
      <w:proofErr w:type="spellEnd"/>
      <w:r w:rsidRPr="00AC24B7">
        <w:t xml:space="preserve"> </w:t>
      </w:r>
      <w:proofErr w:type="spellStart"/>
      <w:r w:rsidRPr="00AC24B7">
        <w:t>for</w:t>
      </w:r>
      <w:proofErr w:type="spellEnd"/>
      <w:r w:rsidRPr="00AC24B7">
        <w:t xml:space="preserve"> </w:t>
      </w:r>
      <w:proofErr w:type="spellStart"/>
      <w:r w:rsidRPr="00AC24B7">
        <w:t>the</w:t>
      </w:r>
      <w:proofErr w:type="spellEnd"/>
      <w:r w:rsidRPr="00AC24B7">
        <w:t xml:space="preserve"> </w:t>
      </w:r>
      <w:proofErr w:type="spellStart"/>
      <w:r w:rsidRPr="00AC24B7">
        <w:t>individualised</w:t>
      </w:r>
      <w:proofErr w:type="spellEnd"/>
      <w:r w:rsidRPr="00AC24B7">
        <w:t xml:space="preserve"> </w:t>
      </w:r>
      <w:proofErr w:type="spellStart"/>
      <w:r w:rsidRPr="00AC24B7">
        <w:t>management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atypical</w:t>
      </w:r>
      <w:proofErr w:type="spellEnd"/>
      <w:r w:rsidRPr="00AC24B7">
        <w:t xml:space="preserve"> </w:t>
      </w:r>
      <w:proofErr w:type="spellStart"/>
      <w:r w:rsidRPr="00AC24B7">
        <w:t>hemolytic</w:t>
      </w:r>
      <w:proofErr w:type="spellEnd"/>
      <w:r w:rsidRPr="00AC24B7">
        <w:t xml:space="preserve"> </w:t>
      </w:r>
      <w:proofErr w:type="spellStart"/>
      <w:r w:rsidRPr="00AC24B7">
        <w:t>uremic</w:t>
      </w:r>
      <w:proofErr w:type="spellEnd"/>
      <w:r w:rsidRPr="00AC24B7">
        <w:t xml:space="preserve"> </w:t>
      </w:r>
      <w:proofErr w:type="spellStart"/>
      <w:r w:rsidRPr="00AC24B7">
        <w:t>syndrome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adults</w:t>
      </w:r>
      <w:proofErr w:type="spellEnd"/>
      <w:r w:rsidRPr="00AC24B7">
        <w:t xml:space="preserve">. </w:t>
      </w:r>
      <w:proofErr w:type="spellStart"/>
      <w:r w:rsidRPr="00AC24B7">
        <w:rPr>
          <w:i/>
          <w:iCs/>
        </w:rPr>
        <w:t>Front</w:t>
      </w:r>
      <w:proofErr w:type="spellEnd"/>
      <w:r w:rsidRPr="00AC24B7">
        <w:rPr>
          <w:i/>
          <w:iCs/>
        </w:rPr>
        <w:t xml:space="preserve"> Med (</w:t>
      </w:r>
      <w:proofErr w:type="spellStart"/>
      <w:r w:rsidRPr="00AC24B7">
        <w:rPr>
          <w:i/>
          <w:iCs/>
        </w:rPr>
        <w:t>Lausanne</w:t>
      </w:r>
      <w:proofErr w:type="spellEnd"/>
      <w:r w:rsidRPr="00AC24B7">
        <w:rPr>
          <w:i/>
          <w:iCs/>
        </w:rPr>
        <w:t xml:space="preserve">). </w:t>
      </w:r>
      <w:r w:rsidRPr="00AC24B7">
        <w:t xml:space="preserve">2023;10:1264310. doi:10.3389/fmed.2023.1264310. </w:t>
      </w:r>
    </w:p>
    <w:p w14:paraId="72535199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Fakhouri</w:t>
      </w:r>
      <w:proofErr w:type="spellEnd"/>
      <w:r w:rsidRPr="00AC24B7">
        <w:t xml:space="preserve"> F, </w:t>
      </w:r>
      <w:proofErr w:type="spellStart"/>
      <w:r w:rsidRPr="00AC24B7">
        <w:t>Schwotzer</w:t>
      </w:r>
      <w:proofErr w:type="spellEnd"/>
      <w:r w:rsidRPr="00AC24B7">
        <w:t xml:space="preserve"> N, </w:t>
      </w:r>
      <w:proofErr w:type="spellStart"/>
      <w:r w:rsidRPr="00AC24B7">
        <w:t>Frémeaux-Bacchi</w:t>
      </w:r>
      <w:proofErr w:type="spellEnd"/>
      <w:r w:rsidRPr="00AC24B7">
        <w:t xml:space="preserve"> V. </w:t>
      </w:r>
      <w:proofErr w:type="spellStart"/>
      <w:r w:rsidRPr="00AC24B7">
        <w:t>How</w:t>
      </w:r>
      <w:proofErr w:type="spellEnd"/>
      <w:r w:rsidRPr="00AC24B7">
        <w:t xml:space="preserve"> I </w:t>
      </w:r>
      <w:proofErr w:type="spellStart"/>
      <w:r w:rsidRPr="00AC24B7">
        <w:t>diagnose</w:t>
      </w:r>
      <w:proofErr w:type="spellEnd"/>
      <w:r w:rsidRPr="00AC24B7">
        <w:t xml:space="preserve">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treat</w:t>
      </w:r>
      <w:proofErr w:type="spellEnd"/>
      <w:r w:rsidRPr="00AC24B7">
        <w:t xml:space="preserve"> </w:t>
      </w:r>
      <w:proofErr w:type="spellStart"/>
      <w:r w:rsidRPr="00AC24B7">
        <w:t>atypical</w:t>
      </w:r>
      <w:proofErr w:type="spellEnd"/>
      <w:r w:rsidRPr="00AC24B7">
        <w:t xml:space="preserve"> </w:t>
      </w:r>
      <w:proofErr w:type="spellStart"/>
      <w:r w:rsidRPr="00AC24B7">
        <w:t>hemolytic</w:t>
      </w:r>
      <w:proofErr w:type="spellEnd"/>
      <w:r w:rsidRPr="00AC24B7">
        <w:t xml:space="preserve"> </w:t>
      </w:r>
      <w:proofErr w:type="spellStart"/>
      <w:r w:rsidRPr="00AC24B7">
        <w:t>uremic</w:t>
      </w:r>
      <w:proofErr w:type="spellEnd"/>
      <w:r w:rsidRPr="00AC24B7">
        <w:t xml:space="preserve"> </w:t>
      </w:r>
      <w:proofErr w:type="spellStart"/>
      <w:r w:rsidRPr="00AC24B7">
        <w:t>syndrome</w:t>
      </w:r>
      <w:proofErr w:type="spellEnd"/>
      <w:r w:rsidRPr="00AC24B7">
        <w:t xml:space="preserve">. </w:t>
      </w:r>
      <w:r w:rsidRPr="00AC24B7">
        <w:rPr>
          <w:i/>
          <w:iCs/>
        </w:rPr>
        <w:t>Blood.</w:t>
      </w:r>
      <w:r w:rsidRPr="00AC24B7">
        <w:t xml:space="preserve">2023;141(9):984-995. doi:10.1182/blood.2022017860. </w:t>
      </w:r>
    </w:p>
    <w:p w14:paraId="5DA739E1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Kulasekararaj</w:t>
      </w:r>
      <w:proofErr w:type="spellEnd"/>
      <w:r w:rsidRPr="00AC24B7">
        <w:t xml:space="preserve"> AG, </w:t>
      </w:r>
      <w:proofErr w:type="spellStart"/>
      <w:r w:rsidRPr="00AC24B7">
        <w:t>Ariceta</w:t>
      </w:r>
      <w:proofErr w:type="spellEnd"/>
      <w:r w:rsidRPr="00AC24B7">
        <w:t xml:space="preserve"> G, </w:t>
      </w:r>
      <w:proofErr w:type="spellStart"/>
      <w:r w:rsidRPr="00AC24B7">
        <w:t>Barbour</w:t>
      </w:r>
      <w:proofErr w:type="spellEnd"/>
      <w:r w:rsidRPr="00AC24B7">
        <w:t xml:space="preserve"> T, </w:t>
      </w:r>
      <w:proofErr w:type="spellStart"/>
      <w:r w:rsidRPr="00AC24B7">
        <w:t>Scully</w:t>
      </w:r>
      <w:proofErr w:type="spellEnd"/>
      <w:r w:rsidRPr="00AC24B7">
        <w:t xml:space="preserve"> M, </w:t>
      </w:r>
      <w:proofErr w:type="spellStart"/>
      <w:r w:rsidRPr="00AC24B7">
        <w:t>Ortiz</w:t>
      </w:r>
      <w:proofErr w:type="spellEnd"/>
      <w:r w:rsidRPr="00AC24B7">
        <w:t xml:space="preserve"> S, </w:t>
      </w:r>
      <w:proofErr w:type="spellStart"/>
      <w:r w:rsidRPr="00AC24B7">
        <w:t>Ludolph</w:t>
      </w:r>
      <w:proofErr w:type="spellEnd"/>
      <w:r w:rsidRPr="00AC24B7">
        <w:t xml:space="preserve"> B, </w:t>
      </w:r>
      <w:proofErr w:type="spellStart"/>
      <w:r w:rsidRPr="00AC24B7">
        <w:t>et</w:t>
      </w:r>
      <w:proofErr w:type="spellEnd"/>
      <w:r w:rsidRPr="00AC24B7">
        <w:t xml:space="preserve"> </w:t>
      </w:r>
      <w:proofErr w:type="spellStart"/>
      <w:r w:rsidRPr="00AC24B7">
        <w:t>al</w:t>
      </w:r>
      <w:proofErr w:type="spellEnd"/>
      <w:r w:rsidRPr="00AC24B7">
        <w:t xml:space="preserve">. </w:t>
      </w: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adults</w:t>
      </w:r>
      <w:proofErr w:type="spellEnd"/>
      <w:r w:rsidRPr="00AC24B7">
        <w:t xml:space="preserve"> </w:t>
      </w:r>
      <w:proofErr w:type="spellStart"/>
      <w:r w:rsidRPr="00AC24B7">
        <w:t>with</w:t>
      </w:r>
      <w:proofErr w:type="spellEnd"/>
      <w:r w:rsidRPr="00AC24B7">
        <w:t xml:space="preserve"> </w:t>
      </w:r>
      <w:proofErr w:type="spellStart"/>
      <w:r w:rsidRPr="00AC24B7">
        <w:t>atypical</w:t>
      </w:r>
      <w:proofErr w:type="spellEnd"/>
      <w:r w:rsidRPr="00AC24B7">
        <w:t xml:space="preserve"> </w:t>
      </w:r>
      <w:proofErr w:type="spellStart"/>
      <w:r w:rsidRPr="00AC24B7">
        <w:t>haemolytic</w:t>
      </w:r>
      <w:proofErr w:type="spellEnd"/>
      <w:r w:rsidRPr="00AC24B7">
        <w:t xml:space="preserve"> </w:t>
      </w:r>
      <w:proofErr w:type="spellStart"/>
      <w:r w:rsidRPr="00AC24B7">
        <w:t>uraemic</w:t>
      </w:r>
      <w:proofErr w:type="spellEnd"/>
      <w:r w:rsidRPr="00AC24B7">
        <w:t xml:space="preserve"> </w:t>
      </w:r>
      <w:proofErr w:type="spellStart"/>
      <w:r w:rsidRPr="00AC24B7">
        <w:t>syndrome</w:t>
      </w:r>
      <w:proofErr w:type="spellEnd"/>
      <w:r w:rsidRPr="00AC24B7">
        <w:t xml:space="preserve">: 2-year </w:t>
      </w:r>
      <w:proofErr w:type="spellStart"/>
      <w:r w:rsidRPr="00AC24B7">
        <w:t>results</w:t>
      </w:r>
      <w:proofErr w:type="spellEnd"/>
      <w:r w:rsidRPr="00AC24B7">
        <w:t xml:space="preserve"> </w:t>
      </w:r>
      <w:proofErr w:type="spellStart"/>
      <w:r w:rsidRPr="00AC24B7">
        <w:t>from</w:t>
      </w:r>
      <w:proofErr w:type="spellEnd"/>
      <w:r w:rsidRPr="00AC24B7">
        <w:t xml:space="preserve"> a </w:t>
      </w:r>
      <w:proofErr w:type="spellStart"/>
      <w:r w:rsidRPr="00AC24B7">
        <w:t>single-arm</w:t>
      </w:r>
      <w:proofErr w:type="spellEnd"/>
      <w:r w:rsidRPr="00AC24B7">
        <w:t xml:space="preserve">, </w:t>
      </w:r>
      <w:proofErr w:type="spellStart"/>
      <w:r w:rsidRPr="00AC24B7">
        <w:t>open-label</w:t>
      </w:r>
      <w:proofErr w:type="spellEnd"/>
      <w:r w:rsidRPr="00AC24B7">
        <w:t xml:space="preserve">, </w:t>
      </w:r>
      <w:proofErr w:type="spellStart"/>
      <w:r w:rsidRPr="00AC24B7">
        <w:t>phase</w:t>
      </w:r>
      <w:proofErr w:type="spellEnd"/>
      <w:r w:rsidRPr="00AC24B7">
        <w:t xml:space="preserve"> 3 </w:t>
      </w:r>
      <w:proofErr w:type="spellStart"/>
      <w:r w:rsidRPr="00AC24B7">
        <w:t>study</w:t>
      </w:r>
      <w:proofErr w:type="spellEnd"/>
      <w:r w:rsidRPr="00AC24B7">
        <w:t xml:space="preserve">. Lancet </w:t>
      </w:r>
      <w:proofErr w:type="spellStart"/>
      <w:r w:rsidRPr="00AC24B7">
        <w:t>Haematol</w:t>
      </w:r>
      <w:proofErr w:type="spellEnd"/>
      <w:r w:rsidRPr="00AC24B7">
        <w:t xml:space="preserve">. 2021;8(11):e711-e722. doi:10.1016/S2352-3026(21)00245-2 </w:t>
      </w:r>
    </w:p>
    <w:p w14:paraId="0241B717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Matsumoto</w:t>
      </w:r>
      <w:proofErr w:type="spellEnd"/>
      <w:r w:rsidRPr="00AC24B7">
        <w:t xml:space="preserve"> M, </w:t>
      </w:r>
      <w:proofErr w:type="spellStart"/>
      <w:r w:rsidRPr="00AC24B7">
        <w:t>et</w:t>
      </w:r>
      <w:proofErr w:type="spellEnd"/>
      <w:r w:rsidRPr="00AC24B7">
        <w:t xml:space="preserve"> </w:t>
      </w:r>
      <w:proofErr w:type="spellStart"/>
      <w:r w:rsidRPr="00AC24B7">
        <w:t>al</w:t>
      </w:r>
      <w:proofErr w:type="spellEnd"/>
      <w:r w:rsidRPr="00AC24B7">
        <w:t xml:space="preserve">. </w:t>
      </w:r>
      <w:proofErr w:type="spellStart"/>
      <w:r w:rsidRPr="00AC24B7">
        <w:t>Diagnostic</w:t>
      </w:r>
      <w:proofErr w:type="spellEnd"/>
      <w:r w:rsidRPr="00AC24B7">
        <w:t xml:space="preserve">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treatment</w:t>
      </w:r>
      <w:proofErr w:type="spellEnd"/>
      <w:r w:rsidRPr="00AC24B7">
        <w:t xml:space="preserve"> </w:t>
      </w:r>
      <w:proofErr w:type="spellStart"/>
      <w:r w:rsidRPr="00AC24B7">
        <w:t>guidelines</w:t>
      </w:r>
      <w:proofErr w:type="spellEnd"/>
      <w:r w:rsidRPr="00AC24B7">
        <w:t xml:space="preserve"> </w:t>
      </w:r>
      <w:proofErr w:type="spellStart"/>
      <w:r w:rsidRPr="00AC24B7">
        <w:t>for</w:t>
      </w:r>
      <w:proofErr w:type="spellEnd"/>
      <w:r w:rsidRPr="00AC24B7">
        <w:t xml:space="preserve"> </w:t>
      </w:r>
      <w:proofErr w:type="spellStart"/>
      <w:r w:rsidRPr="00AC24B7">
        <w:t>thrombotic</w:t>
      </w:r>
      <w:proofErr w:type="spellEnd"/>
      <w:r w:rsidRPr="00AC24B7">
        <w:t xml:space="preserve"> </w:t>
      </w:r>
      <w:proofErr w:type="spellStart"/>
      <w:r w:rsidRPr="00AC24B7">
        <w:t>thrombocytopenic</w:t>
      </w:r>
      <w:proofErr w:type="spellEnd"/>
      <w:r w:rsidRPr="00AC24B7">
        <w:t xml:space="preserve"> purpura (TTP) </w:t>
      </w:r>
      <w:proofErr w:type="spellStart"/>
      <w:r w:rsidRPr="00AC24B7">
        <w:t>in</w:t>
      </w:r>
      <w:proofErr w:type="spellEnd"/>
      <w:r w:rsidRPr="00AC24B7">
        <w:t xml:space="preserve"> Japan 2023. </w:t>
      </w:r>
      <w:r w:rsidRPr="00AC24B7">
        <w:rPr>
          <w:i/>
          <w:iCs/>
        </w:rPr>
        <w:t xml:space="preserve">Int J </w:t>
      </w:r>
      <w:proofErr w:type="spellStart"/>
      <w:r w:rsidRPr="00AC24B7">
        <w:rPr>
          <w:i/>
          <w:iCs/>
        </w:rPr>
        <w:t>Hematol</w:t>
      </w:r>
      <w:proofErr w:type="spellEnd"/>
      <w:r w:rsidRPr="00AC24B7">
        <w:rPr>
          <w:i/>
          <w:iCs/>
        </w:rPr>
        <w:t xml:space="preserve">. </w:t>
      </w:r>
      <w:r w:rsidRPr="00AC24B7">
        <w:t xml:space="preserve">2023;118(5):529-546. doi:10.1007/s12185-023-03657-0. </w:t>
      </w:r>
    </w:p>
    <w:p w14:paraId="48B92207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Atypical</w:t>
      </w:r>
      <w:proofErr w:type="spellEnd"/>
      <w:r w:rsidRPr="00AC24B7">
        <w:t xml:space="preserve"> </w:t>
      </w:r>
      <w:proofErr w:type="spellStart"/>
      <w:r w:rsidRPr="00AC24B7">
        <w:t>Hemolytic</w:t>
      </w:r>
      <w:proofErr w:type="spellEnd"/>
      <w:r w:rsidRPr="00AC24B7">
        <w:t xml:space="preserve"> </w:t>
      </w:r>
      <w:proofErr w:type="spellStart"/>
      <w:r w:rsidRPr="00AC24B7">
        <w:t>Uremic</w:t>
      </w:r>
      <w:proofErr w:type="spellEnd"/>
      <w:r w:rsidRPr="00AC24B7">
        <w:t xml:space="preserve"> </w:t>
      </w:r>
      <w:proofErr w:type="spellStart"/>
      <w:r w:rsidRPr="00AC24B7">
        <w:t>Syndrome</w:t>
      </w:r>
      <w:proofErr w:type="spellEnd"/>
      <w:r w:rsidRPr="00AC24B7">
        <w:t xml:space="preserve">: </w:t>
      </w:r>
      <w:proofErr w:type="spellStart"/>
      <w:r w:rsidRPr="00AC24B7">
        <w:t>Final</w:t>
      </w:r>
      <w:proofErr w:type="spellEnd"/>
      <w:r w:rsidRPr="00AC24B7">
        <w:t xml:space="preserve"> </w:t>
      </w:r>
      <w:proofErr w:type="spellStart"/>
      <w:r w:rsidRPr="00AC24B7">
        <w:t>Analysis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Efficacy</w:t>
      </w:r>
      <w:proofErr w:type="spellEnd"/>
      <w:r w:rsidRPr="00AC24B7">
        <w:t xml:space="preserve">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Safety</w:t>
      </w:r>
      <w:proofErr w:type="spellEnd"/>
      <w:r w:rsidRPr="00AC24B7">
        <w:t xml:space="preserve"> </w:t>
      </w:r>
      <w:proofErr w:type="spellStart"/>
      <w:r w:rsidRPr="00AC24B7">
        <w:t>Outcomes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Two</w:t>
      </w:r>
      <w:proofErr w:type="spellEnd"/>
      <w:r w:rsidRPr="00AC24B7">
        <w:t xml:space="preserve"> </w:t>
      </w:r>
      <w:proofErr w:type="spellStart"/>
      <w:r w:rsidRPr="00AC24B7">
        <w:t>Phase</w:t>
      </w:r>
      <w:proofErr w:type="spellEnd"/>
      <w:r w:rsidRPr="00AC24B7">
        <w:t xml:space="preserve"> 3 </w:t>
      </w:r>
      <w:proofErr w:type="spellStart"/>
      <w:r w:rsidRPr="00AC24B7">
        <w:t>Trials</w:t>
      </w:r>
      <w:proofErr w:type="spellEnd"/>
      <w:r w:rsidRPr="00AC24B7">
        <w:t xml:space="preserve">. </w:t>
      </w:r>
      <w:proofErr w:type="spellStart"/>
      <w:r w:rsidRPr="00AC24B7">
        <w:rPr>
          <w:i/>
          <w:iCs/>
        </w:rPr>
        <w:t>Kidney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Medicine</w:t>
      </w:r>
      <w:proofErr w:type="spellEnd"/>
      <w:r w:rsidRPr="00AC24B7">
        <w:rPr>
          <w:i/>
          <w:iCs/>
        </w:rPr>
        <w:t xml:space="preserve">. </w:t>
      </w:r>
      <w:r w:rsidRPr="00AC24B7">
        <w:t xml:space="preserve">2024;100855. doi:10.1016/j.xkme.2024.100855. </w:t>
      </w:r>
    </w:p>
    <w:p w14:paraId="56F01532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Atypical</w:t>
      </w:r>
      <w:proofErr w:type="spellEnd"/>
      <w:r w:rsidRPr="00AC24B7">
        <w:t xml:space="preserve"> </w:t>
      </w:r>
      <w:proofErr w:type="spellStart"/>
      <w:r w:rsidRPr="00AC24B7">
        <w:t>Hemolytic</w:t>
      </w:r>
      <w:proofErr w:type="spellEnd"/>
      <w:r w:rsidRPr="00AC24B7">
        <w:t xml:space="preserve"> </w:t>
      </w:r>
      <w:proofErr w:type="spellStart"/>
      <w:r w:rsidRPr="00AC24B7">
        <w:t>Uremic</w:t>
      </w:r>
      <w:proofErr w:type="spellEnd"/>
      <w:r w:rsidRPr="00AC24B7">
        <w:t xml:space="preserve"> </w:t>
      </w:r>
      <w:proofErr w:type="spellStart"/>
      <w:r w:rsidRPr="00AC24B7">
        <w:t>Syndrome</w:t>
      </w:r>
      <w:proofErr w:type="spellEnd"/>
      <w:r w:rsidRPr="00AC24B7">
        <w:t xml:space="preserve">: </w:t>
      </w:r>
      <w:proofErr w:type="spellStart"/>
      <w:r w:rsidRPr="00AC24B7">
        <w:t>Final</w:t>
      </w:r>
      <w:proofErr w:type="spellEnd"/>
      <w:r w:rsidRPr="00AC24B7">
        <w:t xml:space="preserve"> </w:t>
      </w:r>
      <w:proofErr w:type="spellStart"/>
      <w:r w:rsidRPr="00AC24B7">
        <w:t>Analysis</w:t>
      </w:r>
      <w:proofErr w:type="spellEnd"/>
      <w:r w:rsidRPr="00AC24B7">
        <w:t xml:space="preserve">. </w:t>
      </w:r>
      <w:r w:rsidRPr="00AC24B7">
        <w:rPr>
          <w:i/>
          <w:iCs/>
        </w:rPr>
        <w:t xml:space="preserve">J </w:t>
      </w:r>
      <w:proofErr w:type="spellStart"/>
      <w:r w:rsidRPr="00AC24B7">
        <w:rPr>
          <w:i/>
          <w:iCs/>
        </w:rPr>
        <w:t>Am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Soc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Nephrol</w:t>
      </w:r>
      <w:proofErr w:type="spellEnd"/>
      <w:r w:rsidRPr="00AC24B7">
        <w:rPr>
          <w:i/>
          <w:iCs/>
        </w:rPr>
        <w:t xml:space="preserve">. </w:t>
      </w:r>
      <w:r w:rsidRPr="00AC24B7">
        <w:t xml:space="preserve">2024;35(10S):455 doi:10.1681/ASN.20240n9ztps3. </w:t>
      </w:r>
    </w:p>
    <w:p w14:paraId="657D3A72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Mauch</w:t>
      </w:r>
      <w:proofErr w:type="spellEnd"/>
      <w:r w:rsidRPr="00AC24B7">
        <w:t xml:space="preserve"> TJ, </w:t>
      </w:r>
      <w:proofErr w:type="spellStart"/>
      <w:r w:rsidRPr="00AC24B7">
        <w:t>Chladek</w:t>
      </w:r>
      <w:proofErr w:type="spellEnd"/>
      <w:r w:rsidRPr="00AC24B7">
        <w:t xml:space="preserve"> MR, </w:t>
      </w:r>
      <w:proofErr w:type="spellStart"/>
      <w:r w:rsidRPr="00AC24B7">
        <w:t>Cataland</w:t>
      </w:r>
      <w:proofErr w:type="spellEnd"/>
      <w:r w:rsidRPr="00AC24B7">
        <w:t xml:space="preserve"> S, </w:t>
      </w:r>
      <w:proofErr w:type="spellStart"/>
      <w:r w:rsidRPr="00AC24B7">
        <w:rPr>
          <w:i/>
          <w:iCs/>
        </w:rPr>
        <w:t>et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al</w:t>
      </w:r>
      <w:proofErr w:type="spellEnd"/>
      <w:r w:rsidRPr="00AC24B7">
        <w:rPr>
          <w:i/>
          <w:iCs/>
        </w:rPr>
        <w:t xml:space="preserve">. </w:t>
      </w:r>
      <w:proofErr w:type="spellStart"/>
      <w:r w:rsidRPr="00AC24B7">
        <w:t>Treatment</w:t>
      </w:r>
      <w:proofErr w:type="spellEnd"/>
      <w:r w:rsidRPr="00AC24B7">
        <w:t xml:space="preserve"> preference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quality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life</w:t>
      </w:r>
      <w:proofErr w:type="spellEnd"/>
      <w:r w:rsidRPr="00AC24B7">
        <w:t xml:space="preserve"> </w:t>
      </w:r>
      <w:proofErr w:type="spellStart"/>
      <w:r w:rsidRPr="00AC24B7">
        <w:t>impact</w:t>
      </w:r>
      <w:proofErr w:type="spellEnd"/>
      <w:r w:rsidRPr="00AC24B7">
        <w:t xml:space="preserve">: </w:t>
      </w: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vs</w:t>
      </w:r>
      <w:proofErr w:type="spellEnd"/>
      <w:r w:rsidRPr="00AC24B7">
        <w:t xml:space="preserve"> </w:t>
      </w:r>
      <w:proofErr w:type="spellStart"/>
      <w:r w:rsidRPr="00AC24B7">
        <w:t>eculizumab</w:t>
      </w:r>
      <w:proofErr w:type="spellEnd"/>
      <w:r w:rsidRPr="00AC24B7">
        <w:t xml:space="preserve"> </w:t>
      </w:r>
      <w:proofErr w:type="spellStart"/>
      <w:r w:rsidRPr="00AC24B7">
        <w:t>for</w:t>
      </w:r>
      <w:proofErr w:type="spellEnd"/>
      <w:r w:rsidRPr="00AC24B7">
        <w:t xml:space="preserve"> </w:t>
      </w:r>
      <w:proofErr w:type="spellStart"/>
      <w:r w:rsidRPr="00AC24B7">
        <w:t>aHUS</w:t>
      </w:r>
      <w:proofErr w:type="spellEnd"/>
      <w:r w:rsidRPr="00AC24B7">
        <w:t xml:space="preserve">. </w:t>
      </w:r>
      <w:r w:rsidRPr="00AC24B7">
        <w:rPr>
          <w:i/>
          <w:iCs/>
        </w:rPr>
        <w:t xml:space="preserve">J </w:t>
      </w:r>
      <w:proofErr w:type="spellStart"/>
      <w:r w:rsidRPr="00AC24B7">
        <w:rPr>
          <w:i/>
          <w:iCs/>
        </w:rPr>
        <w:t>Comp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Eff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Res</w:t>
      </w:r>
      <w:proofErr w:type="spellEnd"/>
      <w:r w:rsidRPr="00AC24B7">
        <w:rPr>
          <w:i/>
          <w:iCs/>
        </w:rPr>
        <w:t xml:space="preserve">. </w:t>
      </w:r>
      <w:r w:rsidRPr="00AC24B7">
        <w:t xml:space="preserve">2023;12(9):e230036. doi:10.57264/cer-2023-0036. </w:t>
      </w:r>
    </w:p>
    <w:p w14:paraId="47C193C2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Tomazos</w:t>
      </w:r>
      <w:proofErr w:type="spellEnd"/>
      <w:r w:rsidRPr="00AC24B7">
        <w:t xml:space="preserve"> I, </w:t>
      </w:r>
      <w:proofErr w:type="spellStart"/>
      <w:r w:rsidRPr="00AC24B7">
        <w:t>Hatswell</w:t>
      </w:r>
      <w:proofErr w:type="spellEnd"/>
      <w:r w:rsidRPr="00AC24B7">
        <w:t xml:space="preserve"> AJ, </w:t>
      </w:r>
      <w:proofErr w:type="spellStart"/>
      <w:r w:rsidRPr="00AC24B7">
        <w:t>Cataland</w:t>
      </w:r>
      <w:proofErr w:type="spellEnd"/>
      <w:r w:rsidRPr="00AC24B7">
        <w:t xml:space="preserve"> S, </w:t>
      </w:r>
      <w:proofErr w:type="spellStart"/>
      <w:r w:rsidRPr="00AC24B7">
        <w:rPr>
          <w:i/>
          <w:iCs/>
        </w:rPr>
        <w:t>et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al</w:t>
      </w:r>
      <w:proofErr w:type="spellEnd"/>
      <w:r w:rsidRPr="00AC24B7">
        <w:rPr>
          <w:i/>
          <w:iCs/>
        </w:rPr>
        <w:t xml:space="preserve">. </w:t>
      </w:r>
      <w:proofErr w:type="spellStart"/>
      <w:r w:rsidRPr="00AC24B7">
        <w:t>Comparative</w:t>
      </w:r>
      <w:proofErr w:type="spellEnd"/>
      <w:r w:rsidRPr="00AC24B7">
        <w:t xml:space="preserve"> </w:t>
      </w:r>
      <w:proofErr w:type="spellStart"/>
      <w:r w:rsidRPr="00AC24B7">
        <w:t>efficacy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eculizumab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the</w:t>
      </w:r>
      <w:proofErr w:type="spellEnd"/>
      <w:r w:rsidRPr="00AC24B7">
        <w:t xml:space="preserve"> </w:t>
      </w:r>
      <w:proofErr w:type="spellStart"/>
      <w:r w:rsidRPr="00AC24B7">
        <w:t>treatment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aHUS</w:t>
      </w:r>
      <w:proofErr w:type="spellEnd"/>
      <w:r w:rsidRPr="00AC24B7">
        <w:t xml:space="preserve">: </w:t>
      </w:r>
      <w:proofErr w:type="spellStart"/>
      <w:r w:rsidRPr="00AC24B7">
        <w:t>an</w:t>
      </w:r>
      <w:proofErr w:type="spellEnd"/>
      <w:r w:rsidRPr="00AC24B7">
        <w:t xml:space="preserve"> </w:t>
      </w:r>
      <w:proofErr w:type="spellStart"/>
      <w:r w:rsidRPr="00AC24B7">
        <w:t>indirect</w:t>
      </w:r>
      <w:proofErr w:type="spellEnd"/>
      <w:r w:rsidRPr="00AC24B7">
        <w:t xml:space="preserve"> </w:t>
      </w:r>
      <w:proofErr w:type="spellStart"/>
      <w:r w:rsidRPr="00AC24B7">
        <w:t>comparison</w:t>
      </w:r>
      <w:proofErr w:type="spellEnd"/>
      <w:r w:rsidRPr="00AC24B7">
        <w:t xml:space="preserve"> </w:t>
      </w:r>
      <w:proofErr w:type="spellStart"/>
      <w:r w:rsidRPr="00AC24B7">
        <w:t>using</w:t>
      </w:r>
      <w:proofErr w:type="spellEnd"/>
      <w:r w:rsidRPr="00AC24B7">
        <w:t xml:space="preserve"> </w:t>
      </w:r>
      <w:proofErr w:type="spellStart"/>
      <w:r w:rsidRPr="00AC24B7">
        <w:t>clinical</w:t>
      </w:r>
      <w:proofErr w:type="spellEnd"/>
      <w:r w:rsidRPr="00AC24B7">
        <w:t xml:space="preserve"> </w:t>
      </w:r>
      <w:proofErr w:type="spellStart"/>
      <w:r w:rsidRPr="00AC24B7">
        <w:t>trial</w:t>
      </w:r>
      <w:proofErr w:type="spellEnd"/>
      <w:r w:rsidRPr="00AC24B7">
        <w:t xml:space="preserve"> </w:t>
      </w:r>
      <w:proofErr w:type="spellStart"/>
      <w:r w:rsidRPr="00AC24B7">
        <w:t>data</w:t>
      </w:r>
      <w:proofErr w:type="spellEnd"/>
      <w:r w:rsidRPr="00AC24B7">
        <w:t xml:space="preserve">. </w:t>
      </w:r>
      <w:proofErr w:type="spellStart"/>
      <w:r w:rsidRPr="00AC24B7">
        <w:rPr>
          <w:i/>
          <w:iCs/>
        </w:rPr>
        <w:t>Clin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Nephrol</w:t>
      </w:r>
      <w:proofErr w:type="spellEnd"/>
      <w:r w:rsidRPr="00AC24B7">
        <w:rPr>
          <w:i/>
          <w:iCs/>
        </w:rPr>
        <w:t xml:space="preserve">. </w:t>
      </w:r>
      <w:r w:rsidRPr="00AC24B7">
        <w:t xml:space="preserve">2022;97(5):261-272. doi:10.5414/CN110516. </w:t>
      </w:r>
    </w:p>
    <w:p w14:paraId="43CCB9A1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r w:rsidRPr="00AC24B7">
        <w:t>Schaefer F, Al-</w:t>
      </w:r>
      <w:proofErr w:type="spellStart"/>
      <w:r w:rsidRPr="00AC24B7">
        <w:t>Dakkak</w:t>
      </w:r>
      <w:proofErr w:type="spellEnd"/>
      <w:r w:rsidRPr="00AC24B7">
        <w:t xml:space="preserve"> I, </w:t>
      </w:r>
      <w:proofErr w:type="spellStart"/>
      <w:r w:rsidRPr="00AC24B7">
        <w:t>Anokhina</w:t>
      </w:r>
      <w:proofErr w:type="spellEnd"/>
      <w:r w:rsidRPr="00AC24B7">
        <w:t xml:space="preserve"> K, </w:t>
      </w:r>
      <w:proofErr w:type="spellStart"/>
      <w:r w:rsidRPr="00AC24B7">
        <w:rPr>
          <w:i/>
          <w:iCs/>
        </w:rPr>
        <w:t>et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al</w:t>
      </w:r>
      <w:proofErr w:type="spellEnd"/>
      <w:r w:rsidRPr="00AC24B7">
        <w:rPr>
          <w:i/>
          <w:iCs/>
        </w:rPr>
        <w:t xml:space="preserve">. </w:t>
      </w:r>
      <w:proofErr w:type="spellStart"/>
      <w:r w:rsidRPr="00AC24B7">
        <w:t>Global</w:t>
      </w:r>
      <w:proofErr w:type="spellEnd"/>
      <w:r w:rsidRPr="00AC24B7">
        <w:t xml:space="preserve"> </w:t>
      </w:r>
      <w:proofErr w:type="spellStart"/>
      <w:r w:rsidRPr="00AC24B7">
        <w:t>aHUS</w:t>
      </w:r>
      <w:proofErr w:type="spellEnd"/>
      <w:r w:rsidRPr="00AC24B7">
        <w:t xml:space="preserve"> </w:t>
      </w:r>
      <w:proofErr w:type="spellStart"/>
      <w:r w:rsidRPr="00AC24B7">
        <w:t>Registry</w:t>
      </w:r>
      <w:proofErr w:type="spellEnd"/>
      <w:r w:rsidRPr="00AC24B7">
        <w:t xml:space="preserve"> </w:t>
      </w:r>
      <w:proofErr w:type="spellStart"/>
      <w:r w:rsidRPr="00AC24B7">
        <w:t>Analysis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Patients</w:t>
      </w:r>
      <w:proofErr w:type="spellEnd"/>
      <w:r w:rsidRPr="00AC24B7">
        <w:t xml:space="preserve"> </w:t>
      </w:r>
      <w:proofErr w:type="spellStart"/>
      <w:r w:rsidRPr="00AC24B7">
        <w:t>Switching</w:t>
      </w:r>
      <w:proofErr w:type="spellEnd"/>
      <w:r w:rsidRPr="00AC24B7">
        <w:t xml:space="preserve"> to </w:t>
      </w: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From</w:t>
      </w:r>
      <w:proofErr w:type="spellEnd"/>
      <w:r w:rsidRPr="00AC24B7">
        <w:t xml:space="preserve"> </w:t>
      </w:r>
      <w:proofErr w:type="spellStart"/>
      <w:r w:rsidRPr="00AC24B7">
        <w:t>Eculizumab</w:t>
      </w:r>
      <w:proofErr w:type="spellEnd"/>
      <w:r w:rsidRPr="00AC24B7">
        <w:t xml:space="preserve">. </w:t>
      </w:r>
      <w:proofErr w:type="spellStart"/>
      <w:r w:rsidRPr="00AC24B7">
        <w:rPr>
          <w:i/>
          <w:iCs/>
        </w:rPr>
        <w:t>Kidney</w:t>
      </w:r>
      <w:proofErr w:type="spellEnd"/>
      <w:r w:rsidRPr="00AC24B7">
        <w:rPr>
          <w:i/>
          <w:iCs/>
        </w:rPr>
        <w:t xml:space="preserve"> Int Rep. </w:t>
      </w:r>
      <w:r w:rsidRPr="00AC24B7">
        <w:t xml:space="preserve">2024;9(9):2648-2656. doi:10.1016/j.ekir.2024.06.020 </w:t>
      </w:r>
    </w:p>
    <w:p w14:paraId="5BE29713" w14:textId="77777777" w:rsidR="001C10A1" w:rsidRPr="001C10A1" w:rsidRDefault="001C10A1" w:rsidP="001C10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10A1" w:rsidRPr="001C10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E39"/>
    <w:multiLevelType w:val="hybridMultilevel"/>
    <w:tmpl w:val="7B0034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10DF"/>
    <w:multiLevelType w:val="hybridMultilevel"/>
    <w:tmpl w:val="C658CBDE"/>
    <w:lvl w:ilvl="0" w:tplc="042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C9439CA"/>
    <w:multiLevelType w:val="multilevel"/>
    <w:tmpl w:val="E6B4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87D7B"/>
    <w:multiLevelType w:val="hybridMultilevel"/>
    <w:tmpl w:val="77AEC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630B6"/>
    <w:multiLevelType w:val="hybridMultilevel"/>
    <w:tmpl w:val="C65C517C"/>
    <w:lvl w:ilvl="0" w:tplc="6BE84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F23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EC47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CCB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685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44C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A4E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78BA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307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A1C6C72"/>
    <w:multiLevelType w:val="hybridMultilevel"/>
    <w:tmpl w:val="327AC5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35B9B"/>
    <w:multiLevelType w:val="multilevel"/>
    <w:tmpl w:val="41B2D794"/>
    <w:styleLink w:val="CurrentList1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C1B18"/>
    <w:multiLevelType w:val="hybridMultilevel"/>
    <w:tmpl w:val="3EE89B94"/>
    <w:lvl w:ilvl="0" w:tplc="3D544A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94C45"/>
    <w:multiLevelType w:val="hybridMultilevel"/>
    <w:tmpl w:val="41B2D794"/>
    <w:lvl w:ilvl="0" w:tplc="C6842A7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E4CB3"/>
    <w:multiLevelType w:val="hybridMultilevel"/>
    <w:tmpl w:val="58E26E52"/>
    <w:lvl w:ilvl="0" w:tplc="3D544A78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BD2126"/>
    <w:multiLevelType w:val="hybridMultilevel"/>
    <w:tmpl w:val="DF34493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573356"/>
    <w:multiLevelType w:val="hybridMultilevel"/>
    <w:tmpl w:val="6F3CD1B0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E577B"/>
    <w:multiLevelType w:val="hybridMultilevel"/>
    <w:tmpl w:val="B80655E2"/>
    <w:lvl w:ilvl="0" w:tplc="AACE52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825F5"/>
    <w:multiLevelType w:val="hybridMultilevel"/>
    <w:tmpl w:val="A69E7C7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FB02F9"/>
    <w:multiLevelType w:val="hybridMultilevel"/>
    <w:tmpl w:val="184464E8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E6C4C"/>
    <w:multiLevelType w:val="hybridMultilevel"/>
    <w:tmpl w:val="20A022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C641B"/>
    <w:multiLevelType w:val="hybridMultilevel"/>
    <w:tmpl w:val="7B141E62"/>
    <w:lvl w:ilvl="0" w:tplc="AACE52F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03059"/>
    <w:multiLevelType w:val="hybridMultilevel"/>
    <w:tmpl w:val="20BE962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926278"/>
    <w:multiLevelType w:val="hybridMultilevel"/>
    <w:tmpl w:val="AB96357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C6A86"/>
    <w:multiLevelType w:val="hybridMultilevel"/>
    <w:tmpl w:val="AB4AA14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917B0E"/>
    <w:multiLevelType w:val="hybridMultilevel"/>
    <w:tmpl w:val="D82EF2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47CF9"/>
    <w:multiLevelType w:val="hybridMultilevel"/>
    <w:tmpl w:val="72D60C30"/>
    <w:lvl w:ilvl="0" w:tplc="CC1C0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5C1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2E0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82CB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36E5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9EC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68D2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BEE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9E8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1F7068C"/>
    <w:multiLevelType w:val="hybridMultilevel"/>
    <w:tmpl w:val="67B27446"/>
    <w:lvl w:ilvl="0" w:tplc="3D544A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2355D"/>
    <w:multiLevelType w:val="hybridMultilevel"/>
    <w:tmpl w:val="F5E86FE8"/>
    <w:lvl w:ilvl="0" w:tplc="6ED0B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011B1"/>
    <w:multiLevelType w:val="hybridMultilevel"/>
    <w:tmpl w:val="BE520A1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F372325"/>
    <w:multiLevelType w:val="hybridMultilevel"/>
    <w:tmpl w:val="43660FFA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425895">
    <w:abstractNumId w:val="5"/>
  </w:num>
  <w:num w:numId="2" w16cid:durableId="1128662579">
    <w:abstractNumId w:val="8"/>
  </w:num>
  <w:num w:numId="3" w16cid:durableId="1647248227">
    <w:abstractNumId w:val="15"/>
  </w:num>
  <w:num w:numId="4" w16cid:durableId="1424110322">
    <w:abstractNumId w:val="22"/>
  </w:num>
  <w:num w:numId="5" w16cid:durableId="2979081">
    <w:abstractNumId w:val="7"/>
  </w:num>
  <w:num w:numId="6" w16cid:durableId="2098401775">
    <w:abstractNumId w:val="0"/>
  </w:num>
  <w:num w:numId="7" w16cid:durableId="247426631">
    <w:abstractNumId w:val="20"/>
  </w:num>
  <w:num w:numId="8" w16cid:durableId="1726879790">
    <w:abstractNumId w:val="2"/>
  </w:num>
  <w:num w:numId="9" w16cid:durableId="70196970">
    <w:abstractNumId w:val="9"/>
  </w:num>
  <w:num w:numId="10" w16cid:durableId="1449013039">
    <w:abstractNumId w:val="24"/>
  </w:num>
  <w:num w:numId="11" w16cid:durableId="1305622929">
    <w:abstractNumId w:val="10"/>
  </w:num>
  <w:num w:numId="12" w16cid:durableId="2007511824">
    <w:abstractNumId w:val="23"/>
  </w:num>
  <w:num w:numId="13" w16cid:durableId="959651542">
    <w:abstractNumId w:val="13"/>
  </w:num>
  <w:num w:numId="14" w16cid:durableId="1285698613">
    <w:abstractNumId w:val="14"/>
  </w:num>
  <w:num w:numId="15" w16cid:durableId="335619668">
    <w:abstractNumId w:val="1"/>
  </w:num>
  <w:num w:numId="16" w16cid:durableId="1925720420">
    <w:abstractNumId w:val="25"/>
  </w:num>
  <w:num w:numId="17" w16cid:durableId="1658723130">
    <w:abstractNumId w:val="12"/>
  </w:num>
  <w:num w:numId="18" w16cid:durableId="415250281">
    <w:abstractNumId w:val="11"/>
  </w:num>
  <w:num w:numId="19" w16cid:durableId="7678226">
    <w:abstractNumId w:val="6"/>
  </w:num>
  <w:num w:numId="20" w16cid:durableId="1195998701">
    <w:abstractNumId w:val="16"/>
  </w:num>
  <w:num w:numId="21" w16cid:durableId="2020035113">
    <w:abstractNumId w:val="17"/>
  </w:num>
  <w:num w:numId="22" w16cid:durableId="1729068726">
    <w:abstractNumId w:val="18"/>
  </w:num>
  <w:num w:numId="23" w16cid:durableId="1996371004">
    <w:abstractNumId w:val="21"/>
  </w:num>
  <w:num w:numId="24" w16cid:durableId="2140996140">
    <w:abstractNumId w:val="4"/>
  </w:num>
  <w:num w:numId="25" w16cid:durableId="1691953433">
    <w:abstractNumId w:val="19"/>
  </w:num>
  <w:num w:numId="26" w16cid:durableId="1878857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20"/>
    <w:rsid w:val="00001203"/>
    <w:rsid w:val="0007071F"/>
    <w:rsid w:val="000F4800"/>
    <w:rsid w:val="00191876"/>
    <w:rsid w:val="001C0BA7"/>
    <w:rsid w:val="001C10A1"/>
    <w:rsid w:val="001E1E38"/>
    <w:rsid w:val="001F19D8"/>
    <w:rsid w:val="001F3A12"/>
    <w:rsid w:val="00222021"/>
    <w:rsid w:val="00222A94"/>
    <w:rsid w:val="0030336C"/>
    <w:rsid w:val="00303923"/>
    <w:rsid w:val="00306E65"/>
    <w:rsid w:val="003759F0"/>
    <w:rsid w:val="00382B19"/>
    <w:rsid w:val="004028D2"/>
    <w:rsid w:val="00476D96"/>
    <w:rsid w:val="004A0E8E"/>
    <w:rsid w:val="004C022F"/>
    <w:rsid w:val="00505A81"/>
    <w:rsid w:val="00506974"/>
    <w:rsid w:val="005212DC"/>
    <w:rsid w:val="00543BB7"/>
    <w:rsid w:val="00556F7B"/>
    <w:rsid w:val="00564E28"/>
    <w:rsid w:val="005A1BE7"/>
    <w:rsid w:val="006377B1"/>
    <w:rsid w:val="0065799B"/>
    <w:rsid w:val="006627C2"/>
    <w:rsid w:val="006E2343"/>
    <w:rsid w:val="006E61AC"/>
    <w:rsid w:val="0073357B"/>
    <w:rsid w:val="00742428"/>
    <w:rsid w:val="0076139C"/>
    <w:rsid w:val="00766E4B"/>
    <w:rsid w:val="007C3376"/>
    <w:rsid w:val="00825441"/>
    <w:rsid w:val="00834FA5"/>
    <w:rsid w:val="00840E75"/>
    <w:rsid w:val="008A5A3A"/>
    <w:rsid w:val="0091251B"/>
    <w:rsid w:val="00917F0A"/>
    <w:rsid w:val="00936BA9"/>
    <w:rsid w:val="00971B2A"/>
    <w:rsid w:val="00974F23"/>
    <w:rsid w:val="009A75AC"/>
    <w:rsid w:val="009C2120"/>
    <w:rsid w:val="00A366CC"/>
    <w:rsid w:val="00A53B87"/>
    <w:rsid w:val="00A656ED"/>
    <w:rsid w:val="00A659FD"/>
    <w:rsid w:val="00A81AFA"/>
    <w:rsid w:val="00AC24B7"/>
    <w:rsid w:val="00AE2490"/>
    <w:rsid w:val="00AE3A12"/>
    <w:rsid w:val="00B071D0"/>
    <w:rsid w:val="00B24CF6"/>
    <w:rsid w:val="00B41E4E"/>
    <w:rsid w:val="00B66C0F"/>
    <w:rsid w:val="00B67767"/>
    <w:rsid w:val="00BB1D90"/>
    <w:rsid w:val="00BB394B"/>
    <w:rsid w:val="00BE40F3"/>
    <w:rsid w:val="00BF4220"/>
    <w:rsid w:val="00C05453"/>
    <w:rsid w:val="00C21466"/>
    <w:rsid w:val="00C25F00"/>
    <w:rsid w:val="00C550AC"/>
    <w:rsid w:val="00C5565E"/>
    <w:rsid w:val="00C819FD"/>
    <w:rsid w:val="00D61201"/>
    <w:rsid w:val="00D95CEF"/>
    <w:rsid w:val="00DF6912"/>
    <w:rsid w:val="00E011A7"/>
    <w:rsid w:val="00E26378"/>
    <w:rsid w:val="00E3532C"/>
    <w:rsid w:val="00E7414D"/>
    <w:rsid w:val="00ED73B6"/>
    <w:rsid w:val="00F20014"/>
    <w:rsid w:val="00F21754"/>
    <w:rsid w:val="00FA2039"/>
    <w:rsid w:val="00FA2159"/>
    <w:rsid w:val="00FD5393"/>
    <w:rsid w:val="00FE64D1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C7B03E"/>
  <w15:chartTrackingRefBased/>
  <w15:docId w15:val="{DCA15297-95CB-4A8C-9150-6F983BAF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F4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F4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F4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F4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F4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F4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F4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F4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F4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F4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F4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F4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F422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F422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F42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F42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F42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F42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F4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F4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F4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F4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F4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F422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F42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F42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F4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F422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F4220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FF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30336C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30336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0336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0336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0336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0336C"/>
    <w:rPr>
      <w:b/>
      <w:bCs/>
      <w:sz w:val="20"/>
      <w:szCs w:val="20"/>
    </w:rPr>
  </w:style>
  <w:style w:type="paragraph" w:customStyle="1" w:styleId="Default">
    <w:name w:val="Default"/>
    <w:rsid w:val="001C1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CurrentList1">
    <w:name w:val="Current List1"/>
    <w:uiPriority w:val="99"/>
    <w:rsid w:val="00AC24B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577D1D0BD2241B17F1090A8C05E8D" ma:contentTypeVersion="16" ma:contentTypeDescription="Create a new document." ma:contentTypeScope="" ma:versionID="eaa7584ae7e1402f35e084db14c3360d">
  <xsd:schema xmlns:xsd="http://www.w3.org/2001/XMLSchema" xmlns:xs="http://www.w3.org/2001/XMLSchema" xmlns:p="http://schemas.microsoft.com/office/2006/metadata/properties" xmlns:ns3="a742fd13-dc9a-4912-94f8-7886ee1b19e5" xmlns:ns4="2491aaa9-eb19-47ed-8522-8040e3a50d84" targetNamespace="http://schemas.microsoft.com/office/2006/metadata/properties" ma:root="true" ma:fieldsID="4db724eb4e0bcda653d27b35625b8415" ns3:_="" ns4:_="">
    <xsd:import namespace="a742fd13-dc9a-4912-94f8-7886ee1b19e5"/>
    <xsd:import namespace="2491aaa9-eb19-47ed-8522-8040e3a50d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2fd13-dc9a-4912-94f8-7886ee1b19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1aaa9-eb19-47ed-8522-8040e3a50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91aaa9-eb19-47ed-8522-8040e3a50d84" xsi:nil="true"/>
  </documentManagement>
</p:properties>
</file>

<file path=customXml/itemProps1.xml><?xml version="1.0" encoding="utf-8"?>
<ds:datastoreItem xmlns:ds="http://schemas.openxmlformats.org/officeDocument/2006/customXml" ds:itemID="{D83B32E9-DE94-46FA-9818-BB9C48077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2fd13-dc9a-4912-94f8-7886ee1b19e5"/>
    <ds:schemaRef ds:uri="2491aaa9-eb19-47ed-8522-8040e3a50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AED22-C73F-43B4-A468-36087800F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4C32D-D118-4B84-91C6-5E196CBE558E}">
  <ds:schemaRefs>
    <ds:schemaRef ds:uri="http://schemas.microsoft.com/office/2006/metadata/properties"/>
    <ds:schemaRef ds:uri="http://schemas.microsoft.com/office/infopath/2007/PartnerControls"/>
    <ds:schemaRef ds:uri="2491aaa9-eb19-47ed-8522-8040e3a50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Sabīne Ilmane</dc:creator>
  <cp:keywords/>
  <dc:description/>
  <cp:lastModifiedBy>Zane Kivleniece</cp:lastModifiedBy>
  <cp:revision>2</cp:revision>
  <dcterms:created xsi:type="dcterms:W3CDTF">2025-11-24T13:07:00Z</dcterms:created>
  <dcterms:modified xsi:type="dcterms:W3CDTF">2025-11-24T13:07:00Z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3224d612-4e79-49c0-819a-3887dd2731be</vt:lpwstr>
  </property>
  <property fmtid="{D5CDD505-2E9C-101B-9397-08002B2CF9AE}" pid="3" name="ContentTypeId">
    <vt:lpwstr>0x0101002A5577D1D0BD2241B17F1090A8C05E8D</vt:lpwstr>
  </property>
</Properties>
</file>