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ED1BF" w14:textId="6D55C7EE" w:rsidR="00FB007A" w:rsidRPr="003640CC" w:rsidRDefault="00FB007A" w:rsidP="003640CC">
      <w:pPr>
        <w:jc w:val="center"/>
        <w:rPr>
          <w:b/>
          <w:sz w:val="24"/>
          <w:szCs w:val="24"/>
        </w:rPr>
      </w:pPr>
      <w:bookmarkStart w:id="0" w:name="_Hlk97713041"/>
      <w:bookmarkStart w:id="1" w:name="_Hlk106626968"/>
      <w:r w:rsidRPr="003640CC">
        <w:rPr>
          <w:b/>
          <w:sz w:val="24"/>
          <w:szCs w:val="24"/>
        </w:rPr>
        <w:t xml:space="preserve">Šķidruma citoloģijas un cilvēka </w:t>
      </w:r>
      <w:proofErr w:type="spellStart"/>
      <w:r w:rsidRPr="003640CC">
        <w:rPr>
          <w:b/>
          <w:sz w:val="24"/>
          <w:szCs w:val="24"/>
        </w:rPr>
        <w:t>papilomas</w:t>
      </w:r>
      <w:proofErr w:type="spellEnd"/>
      <w:r w:rsidRPr="003640CC">
        <w:rPr>
          <w:b/>
          <w:sz w:val="24"/>
          <w:szCs w:val="24"/>
        </w:rPr>
        <w:t xml:space="preserve"> vīrusa </w:t>
      </w:r>
      <w:bookmarkEnd w:id="0"/>
      <w:r w:rsidRPr="003640CC">
        <w:rPr>
          <w:b/>
          <w:sz w:val="24"/>
          <w:szCs w:val="24"/>
        </w:rPr>
        <w:t>izmeklējumu sniegšanas kārtība</w:t>
      </w:r>
    </w:p>
    <w:bookmarkEnd w:id="1"/>
    <w:p w14:paraId="0DCBEDEB" w14:textId="77777777" w:rsidR="00FB007A" w:rsidRPr="003640CC" w:rsidRDefault="00FB007A" w:rsidP="003640CC">
      <w:pPr>
        <w:pStyle w:val="ListParagraph"/>
        <w:ind w:left="0"/>
        <w:rPr>
          <w:sz w:val="24"/>
          <w:szCs w:val="24"/>
        </w:rPr>
      </w:pPr>
    </w:p>
    <w:p w14:paraId="6372FC21" w14:textId="75A03B89" w:rsidR="00FB007A" w:rsidRDefault="00FB007A" w:rsidP="003640CC">
      <w:pPr>
        <w:pStyle w:val="ListParagraph"/>
        <w:numPr>
          <w:ilvl w:val="0"/>
          <w:numId w:val="1"/>
        </w:numPr>
        <w:ind w:left="0" w:firstLine="0"/>
        <w:jc w:val="both"/>
        <w:rPr>
          <w:sz w:val="24"/>
          <w:szCs w:val="24"/>
        </w:rPr>
      </w:pPr>
      <w:r w:rsidRPr="003640CC">
        <w:rPr>
          <w:sz w:val="24"/>
          <w:szCs w:val="24"/>
        </w:rPr>
        <w:t xml:space="preserve">Šķidruma citoloģijas un cilvēka </w:t>
      </w:r>
      <w:proofErr w:type="spellStart"/>
      <w:r w:rsidRPr="003640CC">
        <w:rPr>
          <w:sz w:val="24"/>
          <w:szCs w:val="24"/>
        </w:rPr>
        <w:t>papilomas</w:t>
      </w:r>
      <w:proofErr w:type="spellEnd"/>
      <w:r w:rsidRPr="003640CC">
        <w:rPr>
          <w:sz w:val="24"/>
          <w:szCs w:val="24"/>
        </w:rPr>
        <w:t xml:space="preserve"> vīrusa (</w:t>
      </w:r>
      <w:r w:rsidR="003640CC">
        <w:rPr>
          <w:sz w:val="24"/>
          <w:szCs w:val="24"/>
        </w:rPr>
        <w:t xml:space="preserve">turpmāk – </w:t>
      </w:r>
      <w:r w:rsidRPr="003640CC">
        <w:rPr>
          <w:sz w:val="24"/>
          <w:szCs w:val="24"/>
        </w:rPr>
        <w:t xml:space="preserve">CPV) izmeklējumu sniegšanas kārtība  ir saistoša IZPILDĪTĀJIEM, kuri </w:t>
      </w:r>
      <w:r w:rsidR="003640CC">
        <w:rPr>
          <w:sz w:val="24"/>
          <w:szCs w:val="24"/>
        </w:rPr>
        <w:t xml:space="preserve">atbilstoši </w:t>
      </w:r>
      <w:r w:rsidRPr="003640CC">
        <w:rPr>
          <w:sz w:val="24"/>
          <w:szCs w:val="24"/>
        </w:rPr>
        <w:t xml:space="preserve">šī Līguma </w:t>
      </w:r>
      <w:r w:rsidR="003640CC">
        <w:rPr>
          <w:sz w:val="24"/>
          <w:szCs w:val="24"/>
        </w:rPr>
        <w:t>1</w:t>
      </w:r>
      <w:r w:rsidRPr="003640CC">
        <w:rPr>
          <w:sz w:val="24"/>
          <w:szCs w:val="24"/>
        </w:rPr>
        <w:t>.pielikum</w:t>
      </w:r>
      <w:r w:rsidR="003640CC">
        <w:rPr>
          <w:sz w:val="24"/>
          <w:szCs w:val="24"/>
        </w:rPr>
        <w:t>am veic d</w:t>
      </w:r>
      <w:r w:rsidR="003640CC" w:rsidRPr="003640CC">
        <w:rPr>
          <w:sz w:val="24"/>
          <w:szCs w:val="24"/>
        </w:rPr>
        <w:t>zemdes kakla audzēju agrīn</w:t>
      </w:r>
      <w:r w:rsidR="003640CC">
        <w:rPr>
          <w:sz w:val="24"/>
          <w:szCs w:val="24"/>
        </w:rPr>
        <w:t>o</w:t>
      </w:r>
      <w:r w:rsidR="003640CC" w:rsidRPr="003640CC">
        <w:rPr>
          <w:sz w:val="24"/>
          <w:szCs w:val="24"/>
        </w:rPr>
        <w:t xml:space="preserve"> diagnostik</w:t>
      </w:r>
      <w:r w:rsidR="003640CC">
        <w:rPr>
          <w:sz w:val="24"/>
          <w:szCs w:val="24"/>
        </w:rPr>
        <w:t>u.</w:t>
      </w:r>
    </w:p>
    <w:p w14:paraId="6E029F25" w14:textId="77777777" w:rsidR="003640CC" w:rsidRPr="003640CC" w:rsidRDefault="003640CC" w:rsidP="003640CC">
      <w:pPr>
        <w:pStyle w:val="ListParagraph"/>
        <w:ind w:left="0"/>
        <w:jc w:val="both"/>
        <w:rPr>
          <w:sz w:val="24"/>
          <w:szCs w:val="24"/>
        </w:rPr>
      </w:pPr>
    </w:p>
    <w:p w14:paraId="4D3F5AD3" w14:textId="77777777" w:rsidR="00FB007A" w:rsidRPr="003640CC" w:rsidRDefault="00FB007A" w:rsidP="003640CC">
      <w:pPr>
        <w:pStyle w:val="ListParagraph"/>
        <w:numPr>
          <w:ilvl w:val="0"/>
          <w:numId w:val="1"/>
        </w:numPr>
        <w:ind w:left="0" w:firstLine="0"/>
        <w:jc w:val="both"/>
        <w:rPr>
          <w:sz w:val="24"/>
          <w:szCs w:val="24"/>
        </w:rPr>
      </w:pPr>
      <w:r w:rsidRPr="003640CC">
        <w:rPr>
          <w:sz w:val="24"/>
          <w:szCs w:val="24"/>
        </w:rPr>
        <w:t>IZPILDĪTĀJS nodrošina visus zemāk minētos izmeklējumus:</w:t>
      </w:r>
    </w:p>
    <w:p w14:paraId="128C2C84" w14:textId="77777777" w:rsidR="00FB007A" w:rsidRPr="003640CC" w:rsidRDefault="00FB007A" w:rsidP="003640CC">
      <w:pPr>
        <w:pStyle w:val="ListParagraph"/>
        <w:numPr>
          <w:ilvl w:val="1"/>
          <w:numId w:val="1"/>
        </w:numPr>
        <w:ind w:left="0" w:firstLine="0"/>
        <w:jc w:val="both"/>
        <w:rPr>
          <w:sz w:val="24"/>
          <w:szCs w:val="24"/>
        </w:rPr>
      </w:pPr>
      <w:r w:rsidRPr="003640CC">
        <w:rPr>
          <w:sz w:val="24"/>
          <w:szCs w:val="24"/>
        </w:rPr>
        <w:t xml:space="preserve">Šķidruma citoloģijas </w:t>
      </w:r>
      <w:proofErr w:type="spellStart"/>
      <w:r w:rsidRPr="003640CC">
        <w:rPr>
          <w:sz w:val="24"/>
          <w:szCs w:val="24"/>
        </w:rPr>
        <w:t>skrīninga</w:t>
      </w:r>
      <w:proofErr w:type="spellEnd"/>
      <w:r w:rsidRPr="003640CC">
        <w:rPr>
          <w:sz w:val="24"/>
          <w:szCs w:val="24"/>
        </w:rPr>
        <w:t xml:space="preserve"> izmeklējumus sievietēm 25 un 28 gadu vecumā (līdz 29 gadu vecumam);</w:t>
      </w:r>
    </w:p>
    <w:p w14:paraId="269491F5" w14:textId="77777777" w:rsidR="00FB007A" w:rsidRPr="003640CC" w:rsidRDefault="00FB007A" w:rsidP="003640CC">
      <w:pPr>
        <w:pStyle w:val="ListParagraph"/>
        <w:numPr>
          <w:ilvl w:val="1"/>
          <w:numId w:val="1"/>
        </w:numPr>
        <w:ind w:left="0" w:firstLine="0"/>
        <w:jc w:val="both"/>
        <w:rPr>
          <w:sz w:val="24"/>
          <w:szCs w:val="24"/>
        </w:rPr>
      </w:pPr>
      <w:r w:rsidRPr="003640CC">
        <w:rPr>
          <w:sz w:val="24"/>
          <w:szCs w:val="24"/>
        </w:rPr>
        <w:t xml:space="preserve">Primāra CPV noteikšanas </w:t>
      </w:r>
      <w:proofErr w:type="spellStart"/>
      <w:r w:rsidRPr="003640CC">
        <w:rPr>
          <w:sz w:val="24"/>
          <w:szCs w:val="24"/>
        </w:rPr>
        <w:t>skrīninga</w:t>
      </w:r>
      <w:proofErr w:type="spellEnd"/>
      <w:r w:rsidRPr="003640CC">
        <w:rPr>
          <w:sz w:val="24"/>
          <w:szCs w:val="24"/>
        </w:rPr>
        <w:t xml:space="preserve"> izmeklējumus sievietēm no 30 gadu vecuma līdz 70 gadu vecumam reizi 3 gados pārejas periodā,  pēc pārejas perioda reizi 5 gados. (Pārejas periods ir pirmie 3 gadi, no CPV metodes ieviešanas brīža </w:t>
      </w:r>
      <w:proofErr w:type="spellStart"/>
      <w:r w:rsidRPr="003640CC">
        <w:rPr>
          <w:sz w:val="24"/>
          <w:szCs w:val="24"/>
        </w:rPr>
        <w:t>skrīninga</w:t>
      </w:r>
      <w:proofErr w:type="spellEnd"/>
      <w:r w:rsidRPr="003640CC">
        <w:rPr>
          <w:sz w:val="24"/>
          <w:szCs w:val="24"/>
        </w:rPr>
        <w:t xml:space="preserve"> izmeklējumiem);</w:t>
      </w:r>
    </w:p>
    <w:p w14:paraId="2CB01ADA" w14:textId="77777777" w:rsidR="00FB007A" w:rsidRPr="003640CC" w:rsidRDefault="00FB007A" w:rsidP="003640CC">
      <w:pPr>
        <w:pStyle w:val="ListParagraph"/>
        <w:numPr>
          <w:ilvl w:val="1"/>
          <w:numId w:val="1"/>
        </w:numPr>
        <w:ind w:left="0" w:firstLine="0"/>
        <w:jc w:val="both"/>
        <w:rPr>
          <w:sz w:val="24"/>
          <w:szCs w:val="24"/>
        </w:rPr>
      </w:pPr>
      <w:r w:rsidRPr="003640CC">
        <w:rPr>
          <w:sz w:val="24"/>
          <w:szCs w:val="24"/>
        </w:rPr>
        <w:t xml:space="preserve">Secīgus </w:t>
      </w:r>
      <w:proofErr w:type="spellStart"/>
      <w:r w:rsidRPr="003640CC">
        <w:rPr>
          <w:sz w:val="24"/>
          <w:szCs w:val="24"/>
        </w:rPr>
        <w:t>pēcskrīninga</w:t>
      </w:r>
      <w:proofErr w:type="spellEnd"/>
      <w:r w:rsidRPr="003640CC">
        <w:rPr>
          <w:sz w:val="24"/>
          <w:szCs w:val="24"/>
        </w:rPr>
        <w:t xml:space="preserve"> šķidruma citoloģijas un CPV noteikšanas izmeklējumus;</w:t>
      </w:r>
    </w:p>
    <w:p w14:paraId="7B02F588" w14:textId="2D0F3658" w:rsidR="00FB007A" w:rsidRPr="003640CC" w:rsidRDefault="00FB007A" w:rsidP="003640CC">
      <w:pPr>
        <w:pStyle w:val="ListParagraph"/>
        <w:numPr>
          <w:ilvl w:val="1"/>
          <w:numId w:val="1"/>
        </w:numPr>
        <w:ind w:left="0" w:firstLine="0"/>
        <w:jc w:val="both"/>
        <w:rPr>
          <w:sz w:val="24"/>
          <w:szCs w:val="24"/>
        </w:rPr>
      </w:pPr>
      <w:r w:rsidRPr="003640CC">
        <w:rPr>
          <w:sz w:val="24"/>
          <w:szCs w:val="24"/>
        </w:rPr>
        <w:t>Diagnostiskos šķidruma citoloģijas izmeklējumus</w:t>
      </w:r>
      <w:r w:rsidR="003640CC">
        <w:rPr>
          <w:sz w:val="24"/>
          <w:szCs w:val="24"/>
        </w:rPr>
        <w:t>;</w:t>
      </w:r>
    </w:p>
    <w:p w14:paraId="3B926887" w14:textId="1B08C934" w:rsidR="00FB007A" w:rsidRPr="003640CC" w:rsidRDefault="00FB007A" w:rsidP="003640CC">
      <w:pPr>
        <w:pStyle w:val="ListParagraph"/>
        <w:numPr>
          <w:ilvl w:val="1"/>
          <w:numId w:val="1"/>
        </w:numPr>
        <w:ind w:left="0" w:firstLine="0"/>
        <w:jc w:val="both"/>
        <w:rPr>
          <w:sz w:val="24"/>
          <w:szCs w:val="24"/>
        </w:rPr>
      </w:pPr>
      <w:r w:rsidRPr="003640CC">
        <w:rPr>
          <w:sz w:val="24"/>
          <w:szCs w:val="24"/>
        </w:rPr>
        <w:t>Citu indikāciju gadījumos, saskaņā ar manipulāciju saraksta apmaksas nosacījumiem.</w:t>
      </w:r>
    </w:p>
    <w:p w14:paraId="7AC0E246" w14:textId="77777777" w:rsidR="00FB007A" w:rsidRPr="003640CC" w:rsidRDefault="00FB007A" w:rsidP="003640CC">
      <w:pPr>
        <w:pStyle w:val="ListParagraph"/>
        <w:ind w:left="0"/>
        <w:jc w:val="both"/>
        <w:rPr>
          <w:sz w:val="24"/>
          <w:szCs w:val="24"/>
        </w:rPr>
      </w:pPr>
    </w:p>
    <w:p w14:paraId="54B59276" w14:textId="77777777" w:rsidR="00FB007A" w:rsidRPr="003640CC" w:rsidRDefault="00FB007A" w:rsidP="003640CC">
      <w:pPr>
        <w:pStyle w:val="ListParagraph"/>
        <w:ind w:left="0"/>
        <w:jc w:val="both"/>
        <w:rPr>
          <w:sz w:val="24"/>
          <w:szCs w:val="24"/>
        </w:rPr>
      </w:pPr>
    </w:p>
    <w:p w14:paraId="54C09C99" w14:textId="047D3153" w:rsidR="00FB007A" w:rsidRPr="003640CC" w:rsidRDefault="00FB007A" w:rsidP="003640CC">
      <w:pPr>
        <w:pStyle w:val="ListParagraph"/>
        <w:numPr>
          <w:ilvl w:val="0"/>
          <w:numId w:val="1"/>
        </w:numPr>
        <w:ind w:left="0" w:firstLine="0"/>
        <w:jc w:val="both"/>
        <w:rPr>
          <w:b/>
          <w:sz w:val="24"/>
          <w:szCs w:val="24"/>
        </w:rPr>
      </w:pPr>
      <w:r w:rsidRPr="003640CC">
        <w:rPr>
          <w:b/>
          <w:sz w:val="24"/>
          <w:szCs w:val="24"/>
        </w:rPr>
        <w:t>Veicot šķidruma citoloģijas un CPV izmeklējumus:</w:t>
      </w:r>
    </w:p>
    <w:p w14:paraId="7C446A5A" w14:textId="77777777" w:rsidR="00FB007A" w:rsidRPr="003640CC" w:rsidRDefault="00FB007A" w:rsidP="003640CC">
      <w:pPr>
        <w:pStyle w:val="ListParagraph"/>
        <w:numPr>
          <w:ilvl w:val="1"/>
          <w:numId w:val="1"/>
        </w:numPr>
        <w:ind w:left="0" w:firstLine="0"/>
        <w:jc w:val="both"/>
        <w:rPr>
          <w:sz w:val="24"/>
          <w:szCs w:val="24"/>
        </w:rPr>
      </w:pPr>
      <w:r w:rsidRPr="003640CC">
        <w:rPr>
          <w:sz w:val="24"/>
          <w:szCs w:val="24"/>
        </w:rPr>
        <w:t xml:space="preserve">IZPILDĪTĀJS ir nodrošinājis medicīnas laboratorijas akreditāciju atbilstoši standarta LVS EN ISO 15189:2013 „Medicīnas laboratorijas. Īpašās prasības uz kvalitāti un kompetenci” prasībām. Akreditācijas sfērā ir iekļauti </w:t>
      </w:r>
      <w:proofErr w:type="spellStart"/>
      <w:r w:rsidRPr="003640CC">
        <w:rPr>
          <w:sz w:val="24"/>
          <w:szCs w:val="24"/>
        </w:rPr>
        <w:t>citoloģiskie</w:t>
      </w:r>
      <w:proofErr w:type="spellEnd"/>
      <w:r w:rsidRPr="003640CC">
        <w:rPr>
          <w:sz w:val="24"/>
          <w:szCs w:val="24"/>
        </w:rPr>
        <w:t xml:space="preserve"> un molekulāri bioloģiskie izmeklējumi, kas ietver šķidruma citoloģijas metodi un CPV noteikšanas metodi;</w:t>
      </w:r>
    </w:p>
    <w:p w14:paraId="67B0F78D" w14:textId="77777777" w:rsidR="00FB007A" w:rsidRPr="003640CC" w:rsidRDefault="00FB007A" w:rsidP="003640CC">
      <w:pPr>
        <w:pStyle w:val="ListParagraph"/>
        <w:numPr>
          <w:ilvl w:val="1"/>
          <w:numId w:val="1"/>
        </w:numPr>
        <w:ind w:left="0" w:firstLine="0"/>
        <w:jc w:val="both"/>
        <w:rPr>
          <w:sz w:val="24"/>
          <w:szCs w:val="24"/>
        </w:rPr>
      </w:pPr>
      <w:r w:rsidRPr="003640CC">
        <w:rPr>
          <w:sz w:val="24"/>
          <w:szCs w:val="24"/>
        </w:rPr>
        <w:t>IZPILDĪTĀJS nodrošina vismaz 2 (divus) nodarbinātus speciālistus ar laboratorijas ārsta/ speciālista sertifikātu un apmācību apliecinājumu šķidruma citoloģijas testu veikšanā;</w:t>
      </w:r>
    </w:p>
    <w:p w14:paraId="0B15DBFB" w14:textId="77777777" w:rsidR="00FB007A" w:rsidRPr="003640CC" w:rsidRDefault="00FB007A" w:rsidP="003640CC">
      <w:pPr>
        <w:pStyle w:val="ListParagraph"/>
        <w:numPr>
          <w:ilvl w:val="1"/>
          <w:numId w:val="1"/>
        </w:numPr>
        <w:ind w:left="0" w:firstLine="0"/>
        <w:jc w:val="both"/>
        <w:rPr>
          <w:sz w:val="24"/>
          <w:szCs w:val="24"/>
        </w:rPr>
      </w:pPr>
      <w:r w:rsidRPr="003640CC">
        <w:rPr>
          <w:sz w:val="24"/>
          <w:szCs w:val="24"/>
        </w:rPr>
        <w:t>IZPILDĪTĀJS nodrošina sekojošas parauga arhivēšanas prasības:</w:t>
      </w:r>
    </w:p>
    <w:p w14:paraId="60A4D40B" w14:textId="77777777" w:rsidR="00FB007A" w:rsidRPr="003640CC" w:rsidRDefault="00FB007A" w:rsidP="003640CC">
      <w:pPr>
        <w:pStyle w:val="ListParagraph"/>
        <w:numPr>
          <w:ilvl w:val="2"/>
          <w:numId w:val="1"/>
        </w:numPr>
        <w:ind w:left="0" w:firstLine="0"/>
        <w:jc w:val="both"/>
        <w:rPr>
          <w:i/>
          <w:iCs/>
          <w:sz w:val="24"/>
          <w:szCs w:val="24"/>
        </w:rPr>
      </w:pPr>
      <w:r w:rsidRPr="003640CC">
        <w:rPr>
          <w:sz w:val="24"/>
          <w:szCs w:val="24"/>
        </w:rPr>
        <w:t xml:space="preserve">šķidruma citoloģijas un CPV paraugs konservējošā šķidrumā tiek uzglabāts ne mazāk kā 30 dienas; </w:t>
      </w:r>
    </w:p>
    <w:p w14:paraId="2E679C1D" w14:textId="332768AF" w:rsidR="00FB007A" w:rsidRPr="003640CC" w:rsidRDefault="00FB007A" w:rsidP="003640CC">
      <w:pPr>
        <w:pStyle w:val="ListParagraph"/>
        <w:numPr>
          <w:ilvl w:val="2"/>
          <w:numId w:val="1"/>
        </w:numPr>
        <w:ind w:left="0" w:firstLine="0"/>
        <w:jc w:val="both"/>
        <w:rPr>
          <w:sz w:val="24"/>
          <w:szCs w:val="24"/>
        </w:rPr>
      </w:pPr>
      <w:r w:rsidRPr="003640CC">
        <w:rPr>
          <w:sz w:val="24"/>
          <w:szCs w:val="24"/>
        </w:rPr>
        <w:t>visu šķidruma citoloģijas izmeklējumu preparātu stikliņi tiek uzglabāti ne mazāk kā 10 gadus</w:t>
      </w:r>
      <w:r w:rsidR="003640CC">
        <w:rPr>
          <w:sz w:val="24"/>
          <w:szCs w:val="24"/>
        </w:rPr>
        <w:t>;</w:t>
      </w:r>
    </w:p>
    <w:p w14:paraId="57DCD083" w14:textId="77777777" w:rsidR="00FB007A" w:rsidRPr="003640CC" w:rsidRDefault="00FB007A" w:rsidP="003640CC">
      <w:pPr>
        <w:pStyle w:val="ListParagraph"/>
        <w:numPr>
          <w:ilvl w:val="1"/>
          <w:numId w:val="1"/>
        </w:numPr>
        <w:ind w:left="0" w:firstLine="0"/>
        <w:jc w:val="both"/>
        <w:rPr>
          <w:sz w:val="24"/>
          <w:szCs w:val="24"/>
        </w:rPr>
      </w:pPr>
      <w:r w:rsidRPr="003640CC">
        <w:rPr>
          <w:sz w:val="24"/>
          <w:szCs w:val="24"/>
        </w:rPr>
        <w:t xml:space="preserve">IZPILDĪTĀJS nodrošina augsta riska CPV tipu noteikšanu, atsevišķi </w:t>
      </w:r>
      <w:proofErr w:type="spellStart"/>
      <w:r w:rsidRPr="003640CC">
        <w:rPr>
          <w:sz w:val="24"/>
          <w:szCs w:val="24"/>
        </w:rPr>
        <w:t>ģenotipējot</w:t>
      </w:r>
      <w:proofErr w:type="spellEnd"/>
      <w:r w:rsidRPr="003640CC">
        <w:rPr>
          <w:sz w:val="24"/>
          <w:szCs w:val="24"/>
        </w:rPr>
        <w:t xml:space="preserve"> vismaz  16. un 18., visaugstākā riska CPV tipus, </w:t>
      </w:r>
      <w:proofErr w:type="spellStart"/>
      <w:r w:rsidRPr="003640CC">
        <w:rPr>
          <w:sz w:val="24"/>
          <w:szCs w:val="24"/>
        </w:rPr>
        <w:t>skrīninga</w:t>
      </w:r>
      <w:proofErr w:type="spellEnd"/>
      <w:r w:rsidRPr="003640CC">
        <w:rPr>
          <w:sz w:val="24"/>
          <w:szCs w:val="24"/>
        </w:rPr>
        <w:t xml:space="preserve"> un </w:t>
      </w:r>
      <w:proofErr w:type="spellStart"/>
      <w:r w:rsidRPr="003640CC">
        <w:rPr>
          <w:sz w:val="24"/>
          <w:szCs w:val="24"/>
        </w:rPr>
        <w:t>pēcskrīninga</w:t>
      </w:r>
      <w:proofErr w:type="spellEnd"/>
      <w:r w:rsidRPr="003640CC">
        <w:rPr>
          <w:sz w:val="24"/>
          <w:szCs w:val="24"/>
        </w:rPr>
        <w:t xml:space="preserve"> izmeklējumu ietvaros, pielietojot kādu no metodēm, kas iekļauta primārajam dzemdes kakla </w:t>
      </w:r>
      <w:proofErr w:type="spellStart"/>
      <w:r w:rsidRPr="003640CC">
        <w:rPr>
          <w:sz w:val="24"/>
          <w:szCs w:val="24"/>
        </w:rPr>
        <w:t>skrīningam</w:t>
      </w:r>
      <w:proofErr w:type="spellEnd"/>
      <w:r w:rsidRPr="003640CC">
        <w:rPr>
          <w:sz w:val="24"/>
          <w:szCs w:val="24"/>
        </w:rPr>
        <w:t xml:space="preserve"> rekomendēto metožu pilnas validācijas sarakstā</w:t>
      </w:r>
      <w:r w:rsidRPr="003640CC">
        <w:rPr>
          <w:rStyle w:val="FootnoteReference"/>
          <w:rFonts w:eastAsiaTheme="majorEastAsia"/>
          <w:sz w:val="24"/>
          <w:szCs w:val="24"/>
        </w:rPr>
        <w:footnoteReference w:id="1"/>
      </w:r>
      <w:r w:rsidRPr="003640CC">
        <w:rPr>
          <w:sz w:val="24"/>
          <w:szCs w:val="24"/>
        </w:rPr>
        <w:t>;</w:t>
      </w:r>
    </w:p>
    <w:p w14:paraId="4D381279" w14:textId="77777777" w:rsidR="00FB007A" w:rsidRPr="003640CC" w:rsidRDefault="00FB007A" w:rsidP="003640CC">
      <w:pPr>
        <w:pStyle w:val="ListParagraph"/>
        <w:numPr>
          <w:ilvl w:val="1"/>
          <w:numId w:val="1"/>
        </w:numPr>
        <w:ind w:left="0" w:firstLine="0"/>
        <w:jc w:val="both"/>
        <w:rPr>
          <w:sz w:val="24"/>
          <w:szCs w:val="24"/>
        </w:rPr>
      </w:pPr>
      <w:r w:rsidRPr="003640CC">
        <w:rPr>
          <w:sz w:val="24"/>
          <w:szCs w:val="24"/>
        </w:rPr>
        <w:t xml:space="preserve">IZPILDĪTĀJS nodrošina secīgu  CPV noteikšanas testu veikšanu no šķidruma citoloģijas izmeklējumam paņemtā parauga un otrādi (atbilstoši DIENESTA tīmekļvietnē www.vmnvd.gov.lv sadaļā “Profesionāļiem &gt; Līgumu dokumenti &gt; NVD sagatavotā informācija &gt; Ambulatorie pakalpojumi” publicētiem valsts organizētā dzemdes kakla vēža </w:t>
      </w:r>
      <w:proofErr w:type="spellStart"/>
      <w:r w:rsidRPr="003640CC">
        <w:rPr>
          <w:sz w:val="24"/>
          <w:szCs w:val="24"/>
        </w:rPr>
        <w:t>skrīninga</w:t>
      </w:r>
      <w:proofErr w:type="spellEnd"/>
      <w:r w:rsidRPr="003640CC">
        <w:rPr>
          <w:sz w:val="24"/>
          <w:szCs w:val="24"/>
        </w:rPr>
        <w:t xml:space="preserve"> sniegšanas nosacījumiem ne vēlāk kā 10 (desmit) darba dienu (pirmā darbdiena ir nākamā darbdiena) laikā pēc parauga nogādāšanas laboratorijā;</w:t>
      </w:r>
    </w:p>
    <w:p w14:paraId="7B298079" w14:textId="77777777" w:rsidR="00FB007A" w:rsidRPr="003640CC" w:rsidRDefault="00FB007A" w:rsidP="003640CC">
      <w:pPr>
        <w:pStyle w:val="ListParagraph"/>
        <w:numPr>
          <w:ilvl w:val="1"/>
          <w:numId w:val="1"/>
        </w:numPr>
        <w:ind w:left="0" w:firstLine="0"/>
        <w:jc w:val="both"/>
        <w:rPr>
          <w:sz w:val="24"/>
          <w:szCs w:val="24"/>
        </w:rPr>
      </w:pPr>
      <w:r w:rsidRPr="003640CC">
        <w:rPr>
          <w:sz w:val="24"/>
          <w:szCs w:val="24"/>
        </w:rPr>
        <w:t xml:space="preserve">IZPILDĪTĀJS nodrošina šķidruma citoloģijas un CPV noteikšanas konteineru (barotņu) un paraugu paņemšanas birstīšu piegādi līdz  ārstniecības iestādes norādītai adresei  visā Latvijas Republikas teritorijā  ārstniecības iestādēm, kas nodrošina dzemdes kakla </w:t>
      </w:r>
      <w:proofErr w:type="spellStart"/>
      <w:r w:rsidRPr="003640CC">
        <w:rPr>
          <w:sz w:val="24"/>
          <w:szCs w:val="24"/>
        </w:rPr>
        <w:t>skrīninga</w:t>
      </w:r>
      <w:proofErr w:type="spellEnd"/>
      <w:r w:rsidRPr="003640CC">
        <w:rPr>
          <w:sz w:val="24"/>
          <w:szCs w:val="24"/>
        </w:rPr>
        <w:t xml:space="preserve"> izmeklējumu </w:t>
      </w:r>
      <w:r w:rsidRPr="003640CC">
        <w:rPr>
          <w:sz w:val="24"/>
          <w:szCs w:val="24"/>
        </w:rPr>
        <w:lastRenderedPageBreak/>
        <w:t>paraugu paņemšanu un, DIENESTA līgumpartneriem, kas nodrošina diagnostisko izmeklējumu paraugu paņemšanu;</w:t>
      </w:r>
    </w:p>
    <w:p w14:paraId="02329DF8" w14:textId="77777777" w:rsidR="00FB007A" w:rsidRPr="003640CC" w:rsidRDefault="00FB007A" w:rsidP="003640CC">
      <w:pPr>
        <w:pStyle w:val="ListParagraph"/>
        <w:numPr>
          <w:ilvl w:val="1"/>
          <w:numId w:val="1"/>
        </w:numPr>
        <w:ind w:left="0" w:firstLine="0"/>
        <w:jc w:val="both"/>
        <w:rPr>
          <w:sz w:val="24"/>
          <w:szCs w:val="24"/>
        </w:rPr>
      </w:pPr>
      <w:r w:rsidRPr="003640CC">
        <w:rPr>
          <w:sz w:val="24"/>
          <w:szCs w:val="24"/>
        </w:rPr>
        <w:t>IZPILDĪTĀJS piegādā šķidruma citoloģijas un CPV noteikšanas konteinerus  (barotnes) un paraugu paņemšanas birstītes ne vēlāk kā 5 (piecu) darba dienu laikā pēc ārstniecības iestādes pieprasījuma ārstniecības iestādes norādītā adresē;</w:t>
      </w:r>
    </w:p>
    <w:p w14:paraId="6AE2D7E2" w14:textId="77777777" w:rsidR="00FB007A" w:rsidRPr="003640CC" w:rsidRDefault="00FB007A" w:rsidP="003640CC">
      <w:pPr>
        <w:pStyle w:val="ListParagraph"/>
        <w:numPr>
          <w:ilvl w:val="1"/>
          <w:numId w:val="1"/>
        </w:numPr>
        <w:ind w:left="0" w:firstLine="0"/>
        <w:jc w:val="both"/>
        <w:rPr>
          <w:sz w:val="24"/>
          <w:szCs w:val="24"/>
        </w:rPr>
      </w:pPr>
      <w:r w:rsidRPr="003640CC">
        <w:rPr>
          <w:sz w:val="24"/>
          <w:szCs w:val="24"/>
        </w:rPr>
        <w:t>IZPILDĪTĀJS nodrošina izmeklējamā materiāla savākšanu un transportēšanu uz laboratoriju no ārstniecības iestādes uz kuru pirms tam piegādājis šķidruma citoloģijas un CPV noteikšanas konteinerus (barotnes) un paraugu paņemšanas birstītes.  Kā arī izmeklējamā materiāla transportēšanu uz laboratoriju no dažādiem Latvijas Republikas reģioniem ne retāk kā 1(vienu) reizi 5 (piecu) darba dienu laikā, iepriekš par to vienojoties ar ārstniecības iestādi;</w:t>
      </w:r>
    </w:p>
    <w:p w14:paraId="1B80DA10" w14:textId="77777777" w:rsidR="00FB007A" w:rsidRPr="003640CC" w:rsidRDefault="00FB007A" w:rsidP="003640CC">
      <w:pPr>
        <w:pStyle w:val="ListParagraph"/>
        <w:numPr>
          <w:ilvl w:val="1"/>
          <w:numId w:val="1"/>
        </w:numPr>
        <w:ind w:left="0" w:firstLine="0"/>
        <w:jc w:val="both"/>
        <w:rPr>
          <w:sz w:val="24"/>
          <w:szCs w:val="24"/>
        </w:rPr>
      </w:pPr>
      <w:r w:rsidRPr="003640CC">
        <w:rPr>
          <w:sz w:val="24"/>
          <w:szCs w:val="24"/>
        </w:rPr>
        <w:t>IZPILDĪTĀJS nodrošina  šķidruma citoloģijas izmeklējuma un CPV testa rezultāta, ar DIENESTA sagatavotu rezultātu skaidrojumu, pieejamību vienotās veselības nozares elektroniskās informācijas sistēmā un  paziņošanu  personai, ja pieejama personas kontaktinformācija,  un ārstam nosūtītājam ne vēlāk kā  10 (desmit) darba dienu laikā (pirmā darbdiena ir nākamā darbdiena) pēc parauga saņemšanas dienas laboratorijā;</w:t>
      </w:r>
    </w:p>
    <w:p w14:paraId="393A6404" w14:textId="77777777" w:rsidR="00FB007A" w:rsidRPr="003640CC" w:rsidRDefault="00FB007A" w:rsidP="003640CC">
      <w:pPr>
        <w:pStyle w:val="ListParagraph"/>
        <w:numPr>
          <w:ilvl w:val="1"/>
          <w:numId w:val="1"/>
        </w:numPr>
        <w:ind w:left="0" w:firstLine="0"/>
        <w:jc w:val="both"/>
        <w:rPr>
          <w:sz w:val="24"/>
          <w:szCs w:val="24"/>
        </w:rPr>
      </w:pPr>
      <w:r w:rsidRPr="003640CC">
        <w:rPr>
          <w:sz w:val="24"/>
          <w:szCs w:val="24"/>
        </w:rPr>
        <w:t xml:space="preserve">IZPILDĪTĀJS nodrošina  šķidruma citoloģijas izmeklējuma un CPV testa rezultāta, ar DIENESTA sagatavotu rezultātu skaidrojumu paziņošanu pacienta ģimenes ārstam, gadījumā, ja šķidruma citoloģijas </w:t>
      </w:r>
      <w:proofErr w:type="spellStart"/>
      <w:r w:rsidRPr="003640CC">
        <w:rPr>
          <w:sz w:val="24"/>
          <w:szCs w:val="24"/>
        </w:rPr>
        <w:t>skrīninga</w:t>
      </w:r>
      <w:proofErr w:type="spellEnd"/>
      <w:r w:rsidRPr="003640CC">
        <w:rPr>
          <w:sz w:val="24"/>
          <w:szCs w:val="24"/>
        </w:rPr>
        <w:t xml:space="preserve"> rezultāts ir A2, A3 vai A5 un pozitīvs CPV, AH, A4 un A6, kā arī ja pozitīvs CPV primārā CPV </w:t>
      </w:r>
      <w:proofErr w:type="spellStart"/>
      <w:r w:rsidRPr="003640CC">
        <w:rPr>
          <w:sz w:val="24"/>
          <w:szCs w:val="24"/>
        </w:rPr>
        <w:t>skrīninga</w:t>
      </w:r>
      <w:proofErr w:type="spellEnd"/>
      <w:r w:rsidRPr="003640CC">
        <w:rPr>
          <w:sz w:val="24"/>
          <w:szCs w:val="24"/>
        </w:rPr>
        <w:t xml:space="preserve"> gadījumā ne vēlāk kā  10 (desmit) darba dienu laikā (pirmā darbdiena ir nākamā darbdiena) pēc parauga saņemšanas dienas laboratorijā;</w:t>
      </w:r>
    </w:p>
    <w:p w14:paraId="1329CBE6" w14:textId="77777777" w:rsidR="00FB007A" w:rsidRPr="003640CC" w:rsidRDefault="00FB007A" w:rsidP="003640CC">
      <w:pPr>
        <w:pStyle w:val="ListParagraph"/>
        <w:numPr>
          <w:ilvl w:val="1"/>
          <w:numId w:val="1"/>
        </w:numPr>
        <w:ind w:left="0" w:firstLine="0"/>
        <w:jc w:val="both"/>
        <w:rPr>
          <w:sz w:val="24"/>
          <w:szCs w:val="24"/>
        </w:rPr>
      </w:pPr>
      <w:bookmarkStart w:id="2" w:name="_Hlk101526672"/>
      <w:r w:rsidRPr="003640CC">
        <w:rPr>
          <w:sz w:val="24"/>
          <w:szCs w:val="24"/>
        </w:rPr>
        <w:t>Uz stacionārajām ārstniecības iestādēm, kas nodrošina onkoloģisko dzemdes kakla vēža ārstēšanu neattiecas šajā izmeklējumu sniegšanas kārtībā iekļautie 3.6., 3.7., 3.8., 5.1 apakšpunkti.</w:t>
      </w:r>
    </w:p>
    <w:p w14:paraId="457FE6F5" w14:textId="77777777" w:rsidR="00FB007A" w:rsidRPr="003640CC" w:rsidRDefault="00FB007A" w:rsidP="003640CC">
      <w:pPr>
        <w:pStyle w:val="ListParagraph"/>
        <w:ind w:left="0"/>
        <w:jc w:val="both"/>
        <w:rPr>
          <w:sz w:val="24"/>
          <w:szCs w:val="24"/>
        </w:rPr>
      </w:pPr>
    </w:p>
    <w:bookmarkEnd w:id="2"/>
    <w:p w14:paraId="4A29192D" w14:textId="77777777" w:rsidR="00FB007A" w:rsidRPr="003640CC" w:rsidRDefault="00FB007A" w:rsidP="003640CC">
      <w:pPr>
        <w:pStyle w:val="ListParagraph"/>
        <w:numPr>
          <w:ilvl w:val="0"/>
          <w:numId w:val="1"/>
        </w:numPr>
        <w:ind w:left="0" w:firstLine="0"/>
        <w:jc w:val="both"/>
        <w:rPr>
          <w:bCs/>
          <w:sz w:val="24"/>
          <w:szCs w:val="24"/>
        </w:rPr>
      </w:pPr>
      <w:r w:rsidRPr="003640CC">
        <w:rPr>
          <w:bCs/>
          <w:sz w:val="24"/>
          <w:szCs w:val="24"/>
        </w:rPr>
        <w:t>Šķidruma citoloģijas izmeklējumu kvalitātes vērtēšanas kritēriji:</w:t>
      </w:r>
    </w:p>
    <w:p w14:paraId="25B7A71F" w14:textId="77777777" w:rsidR="00FB007A" w:rsidRPr="003640CC" w:rsidRDefault="00FB007A" w:rsidP="003640CC">
      <w:pPr>
        <w:pStyle w:val="ListParagraph"/>
        <w:numPr>
          <w:ilvl w:val="1"/>
          <w:numId w:val="1"/>
        </w:numPr>
        <w:ind w:left="0" w:firstLine="0"/>
        <w:jc w:val="both"/>
        <w:rPr>
          <w:sz w:val="24"/>
          <w:szCs w:val="24"/>
        </w:rPr>
      </w:pPr>
      <w:r w:rsidRPr="003640CC">
        <w:rPr>
          <w:bCs/>
          <w:sz w:val="24"/>
          <w:szCs w:val="24"/>
        </w:rPr>
        <w:t xml:space="preserve">šķidruma citoloģijas izmeklējumu </w:t>
      </w:r>
      <w:r w:rsidRPr="003640CC">
        <w:rPr>
          <w:sz w:val="24"/>
          <w:szCs w:val="24"/>
        </w:rPr>
        <w:t>kvalitātes vērtēšanas kritēriji tiek vērtēti reizi gadā (pirmoreiz pēc pilna gada) un DIENESTS ir tiesīgs pārskatīt līguma par ambulatoro laboratorisko veselības aprūpes pakalpojumu sniegšanu un apmaksu nosacījumus vai pārtraukt līgumu, ja vērtēšanas kritēriji ir nepieņemamā līmenī atbilstoši šī pielikuma 1. tabulā norādītajiem mērķa rādītājiem:</w:t>
      </w:r>
    </w:p>
    <w:p w14:paraId="7712DDFE" w14:textId="77777777" w:rsidR="00FB007A" w:rsidRPr="003640CC" w:rsidRDefault="00FB007A" w:rsidP="003640CC">
      <w:pPr>
        <w:jc w:val="both"/>
        <w:rPr>
          <w:sz w:val="24"/>
          <w:szCs w:val="24"/>
        </w:rPr>
      </w:pPr>
    </w:p>
    <w:p w14:paraId="29DB5F06" w14:textId="77777777" w:rsidR="00FB007A" w:rsidRPr="003640CC" w:rsidRDefault="00FB007A" w:rsidP="003640CC">
      <w:pPr>
        <w:pStyle w:val="ListParagraph"/>
        <w:ind w:left="0"/>
        <w:jc w:val="right"/>
        <w:rPr>
          <w:sz w:val="24"/>
          <w:szCs w:val="24"/>
        </w:rPr>
      </w:pPr>
      <w:r w:rsidRPr="003640CC">
        <w:rPr>
          <w:sz w:val="24"/>
          <w:szCs w:val="24"/>
        </w:rPr>
        <w:t>1.tabula</w:t>
      </w:r>
    </w:p>
    <w:tbl>
      <w:tblPr>
        <w:tblpPr w:leftFromText="180" w:rightFromText="180" w:vertAnchor="text" w:horzAnchor="margin" w:tblpXSpec="right" w:tblpY="11"/>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7"/>
        <w:gridCol w:w="992"/>
        <w:gridCol w:w="992"/>
        <w:gridCol w:w="992"/>
        <w:gridCol w:w="993"/>
        <w:gridCol w:w="992"/>
        <w:gridCol w:w="992"/>
      </w:tblGrid>
      <w:tr w:rsidR="00FB007A" w:rsidRPr="003640CC" w14:paraId="5F40E3E0" w14:textId="77777777" w:rsidTr="003640CC">
        <w:tc>
          <w:tcPr>
            <w:tcW w:w="3407" w:type="dxa"/>
            <w:vMerge w:val="restart"/>
            <w:tcBorders>
              <w:top w:val="single" w:sz="4" w:space="0" w:color="auto"/>
              <w:left w:val="single" w:sz="4" w:space="0" w:color="auto"/>
              <w:bottom w:val="single" w:sz="4" w:space="0" w:color="auto"/>
              <w:right w:val="single" w:sz="4" w:space="0" w:color="auto"/>
            </w:tcBorders>
            <w:vAlign w:val="center"/>
            <w:hideMark/>
          </w:tcPr>
          <w:p w14:paraId="5FD9257F" w14:textId="77777777" w:rsidR="00FB007A" w:rsidRPr="003640CC" w:rsidRDefault="00FB007A" w:rsidP="003640CC">
            <w:pPr>
              <w:jc w:val="center"/>
              <w:rPr>
                <w:rFonts w:eastAsia="Calibri"/>
                <w:b/>
                <w:sz w:val="24"/>
                <w:szCs w:val="24"/>
              </w:rPr>
            </w:pPr>
            <w:r w:rsidRPr="003640CC">
              <w:rPr>
                <w:rFonts w:eastAsia="Calibri"/>
                <w:b/>
                <w:sz w:val="24"/>
                <w:szCs w:val="24"/>
              </w:rPr>
              <w:t>Kritērija nosaukums</w:t>
            </w:r>
          </w:p>
        </w:tc>
        <w:tc>
          <w:tcPr>
            <w:tcW w:w="5953" w:type="dxa"/>
            <w:gridSpan w:val="6"/>
            <w:tcBorders>
              <w:top w:val="single" w:sz="4" w:space="0" w:color="auto"/>
              <w:left w:val="single" w:sz="4" w:space="0" w:color="auto"/>
              <w:bottom w:val="single" w:sz="4" w:space="0" w:color="auto"/>
              <w:right w:val="single" w:sz="4" w:space="0" w:color="auto"/>
            </w:tcBorders>
            <w:vAlign w:val="center"/>
            <w:hideMark/>
          </w:tcPr>
          <w:p w14:paraId="28805B72" w14:textId="77777777" w:rsidR="00FB007A" w:rsidRPr="003640CC" w:rsidRDefault="00FB007A" w:rsidP="003640CC">
            <w:pPr>
              <w:jc w:val="center"/>
              <w:rPr>
                <w:rFonts w:eastAsia="Calibri"/>
                <w:b/>
                <w:sz w:val="24"/>
                <w:szCs w:val="24"/>
              </w:rPr>
            </w:pPr>
            <w:r w:rsidRPr="003640CC">
              <w:rPr>
                <w:rFonts w:eastAsia="Calibri"/>
                <w:b/>
                <w:sz w:val="24"/>
                <w:szCs w:val="24"/>
              </w:rPr>
              <w:t>Mērķa rādītāji</w:t>
            </w:r>
          </w:p>
        </w:tc>
      </w:tr>
      <w:tr w:rsidR="00FB007A" w:rsidRPr="003640CC" w14:paraId="6E27E6E0" w14:textId="77777777" w:rsidTr="003640CC">
        <w:tc>
          <w:tcPr>
            <w:tcW w:w="3407" w:type="dxa"/>
            <w:vMerge/>
            <w:tcBorders>
              <w:top w:val="single" w:sz="4" w:space="0" w:color="auto"/>
              <w:left w:val="single" w:sz="4" w:space="0" w:color="auto"/>
              <w:bottom w:val="single" w:sz="4" w:space="0" w:color="auto"/>
              <w:right w:val="single" w:sz="4" w:space="0" w:color="auto"/>
            </w:tcBorders>
            <w:vAlign w:val="center"/>
            <w:hideMark/>
          </w:tcPr>
          <w:p w14:paraId="577302CF" w14:textId="77777777" w:rsidR="00FB007A" w:rsidRPr="003640CC" w:rsidRDefault="00FB007A" w:rsidP="003640CC">
            <w:pPr>
              <w:jc w:val="center"/>
              <w:rPr>
                <w:rFonts w:eastAsia="Calibri"/>
                <w:b/>
                <w:sz w:val="24"/>
                <w:szCs w:val="24"/>
              </w:rPr>
            </w:pPr>
          </w:p>
        </w:tc>
        <w:tc>
          <w:tcPr>
            <w:tcW w:w="2976" w:type="dxa"/>
            <w:gridSpan w:val="3"/>
            <w:tcBorders>
              <w:top w:val="single" w:sz="4" w:space="0" w:color="auto"/>
              <w:left w:val="single" w:sz="4" w:space="0" w:color="auto"/>
              <w:bottom w:val="single" w:sz="4" w:space="0" w:color="auto"/>
              <w:right w:val="single" w:sz="4" w:space="0" w:color="auto"/>
            </w:tcBorders>
            <w:shd w:val="clear" w:color="auto" w:fill="E5B8B7"/>
            <w:vAlign w:val="center"/>
            <w:hideMark/>
          </w:tcPr>
          <w:p w14:paraId="723F9165" w14:textId="77777777" w:rsidR="00FB007A" w:rsidRPr="003640CC" w:rsidRDefault="00FB007A" w:rsidP="003640CC">
            <w:pPr>
              <w:jc w:val="center"/>
              <w:rPr>
                <w:rFonts w:eastAsia="Calibri"/>
                <w:b/>
                <w:sz w:val="24"/>
                <w:szCs w:val="24"/>
              </w:rPr>
            </w:pPr>
            <w:r w:rsidRPr="003640CC">
              <w:rPr>
                <w:rFonts w:eastAsia="Calibri"/>
                <w:b/>
                <w:sz w:val="24"/>
                <w:szCs w:val="24"/>
              </w:rPr>
              <w:t>Nepieņemams</w:t>
            </w:r>
          </w:p>
        </w:tc>
        <w:tc>
          <w:tcPr>
            <w:tcW w:w="2977" w:type="dxa"/>
            <w:gridSpan w:val="3"/>
            <w:tcBorders>
              <w:top w:val="single" w:sz="4" w:space="0" w:color="auto"/>
              <w:left w:val="single" w:sz="4" w:space="0" w:color="auto"/>
              <w:bottom w:val="single" w:sz="4" w:space="0" w:color="auto"/>
              <w:right w:val="single" w:sz="4" w:space="0" w:color="auto"/>
            </w:tcBorders>
            <w:shd w:val="clear" w:color="auto" w:fill="EAF1DD"/>
            <w:vAlign w:val="center"/>
            <w:hideMark/>
          </w:tcPr>
          <w:p w14:paraId="0BB9B380" w14:textId="77777777" w:rsidR="00FB007A" w:rsidRPr="003640CC" w:rsidRDefault="00FB007A" w:rsidP="003640CC">
            <w:pPr>
              <w:jc w:val="center"/>
              <w:rPr>
                <w:rFonts w:eastAsia="Calibri"/>
                <w:b/>
                <w:sz w:val="24"/>
                <w:szCs w:val="24"/>
              </w:rPr>
            </w:pPr>
            <w:r w:rsidRPr="003640CC">
              <w:rPr>
                <w:rFonts w:eastAsia="Calibri"/>
                <w:b/>
                <w:sz w:val="24"/>
                <w:szCs w:val="24"/>
              </w:rPr>
              <w:t>Pieņemams</w:t>
            </w:r>
          </w:p>
        </w:tc>
      </w:tr>
      <w:tr w:rsidR="00FB007A" w:rsidRPr="003640CC" w14:paraId="7FE3465B" w14:textId="77777777" w:rsidTr="003640CC">
        <w:tc>
          <w:tcPr>
            <w:tcW w:w="3407" w:type="dxa"/>
            <w:vMerge/>
            <w:tcBorders>
              <w:top w:val="single" w:sz="4" w:space="0" w:color="auto"/>
              <w:left w:val="single" w:sz="4" w:space="0" w:color="auto"/>
              <w:bottom w:val="single" w:sz="4" w:space="0" w:color="auto"/>
              <w:right w:val="single" w:sz="4" w:space="0" w:color="auto"/>
            </w:tcBorders>
            <w:vAlign w:val="center"/>
            <w:hideMark/>
          </w:tcPr>
          <w:p w14:paraId="0BD1141E" w14:textId="77777777" w:rsidR="00FB007A" w:rsidRPr="003640CC" w:rsidRDefault="00FB007A" w:rsidP="003640CC">
            <w:pPr>
              <w:jc w:val="center"/>
              <w:rPr>
                <w:rFonts w:eastAsia="Calibri"/>
                <w:b/>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FD765F" w14:textId="77777777" w:rsidR="00FB007A" w:rsidRPr="003640CC" w:rsidRDefault="00FB007A" w:rsidP="003640CC">
            <w:pPr>
              <w:jc w:val="center"/>
              <w:rPr>
                <w:rFonts w:eastAsia="Calibri"/>
                <w:b/>
                <w:sz w:val="24"/>
                <w:szCs w:val="24"/>
              </w:rPr>
            </w:pPr>
            <w:r w:rsidRPr="003640CC">
              <w:rPr>
                <w:rFonts w:eastAsia="Calibri"/>
                <w:b/>
                <w:sz w:val="24"/>
                <w:szCs w:val="24"/>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B3128D" w14:textId="77777777" w:rsidR="00FB007A" w:rsidRPr="003640CC" w:rsidRDefault="00FB007A" w:rsidP="003640CC">
            <w:pPr>
              <w:jc w:val="center"/>
              <w:rPr>
                <w:rFonts w:eastAsia="Calibri"/>
                <w:b/>
                <w:sz w:val="24"/>
                <w:szCs w:val="24"/>
              </w:rPr>
            </w:pPr>
            <w:r w:rsidRPr="003640CC">
              <w:rPr>
                <w:rFonts w:eastAsia="Calibri"/>
                <w:b/>
                <w:sz w:val="24"/>
                <w:szCs w:val="24"/>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DB5E66" w14:textId="77777777" w:rsidR="00FB007A" w:rsidRPr="003640CC" w:rsidRDefault="00FB007A" w:rsidP="003640CC">
            <w:pPr>
              <w:jc w:val="center"/>
              <w:rPr>
                <w:rFonts w:eastAsia="Calibri"/>
                <w:b/>
                <w:sz w:val="24"/>
                <w:szCs w:val="24"/>
              </w:rPr>
            </w:pPr>
            <w:r w:rsidRPr="003640CC">
              <w:rPr>
                <w:rFonts w:eastAsia="Calibri"/>
                <w:b/>
                <w:sz w:val="24"/>
                <w:szCs w:val="24"/>
              </w:rPr>
              <w:t>2024.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C14B38" w14:textId="77777777" w:rsidR="00FB007A" w:rsidRPr="003640CC" w:rsidRDefault="00FB007A" w:rsidP="003640CC">
            <w:pPr>
              <w:jc w:val="center"/>
              <w:rPr>
                <w:rFonts w:eastAsia="Calibri"/>
                <w:b/>
                <w:sz w:val="24"/>
                <w:szCs w:val="24"/>
              </w:rPr>
            </w:pPr>
            <w:r w:rsidRPr="003640CC">
              <w:rPr>
                <w:rFonts w:eastAsia="Calibri"/>
                <w:b/>
                <w:sz w:val="24"/>
                <w:szCs w:val="24"/>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6F66DB" w14:textId="77777777" w:rsidR="00FB007A" w:rsidRPr="003640CC" w:rsidRDefault="00FB007A" w:rsidP="003640CC">
            <w:pPr>
              <w:jc w:val="center"/>
              <w:rPr>
                <w:rFonts w:eastAsia="Calibri"/>
                <w:b/>
                <w:sz w:val="24"/>
                <w:szCs w:val="24"/>
              </w:rPr>
            </w:pPr>
            <w:r w:rsidRPr="003640CC">
              <w:rPr>
                <w:rFonts w:eastAsia="Calibri"/>
                <w:b/>
                <w:sz w:val="24"/>
                <w:szCs w:val="24"/>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C9AC4A" w14:textId="77777777" w:rsidR="00FB007A" w:rsidRPr="003640CC" w:rsidRDefault="00FB007A" w:rsidP="003640CC">
            <w:pPr>
              <w:jc w:val="center"/>
              <w:rPr>
                <w:rFonts w:eastAsia="Calibri"/>
                <w:b/>
                <w:sz w:val="24"/>
                <w:szCs w:val="24"/>
              </w:rPr>
            </w:pPr>
            <w:r w:rsidRPr="003640CC">
              <w:rPr>
                <w:rFonts w:eastAsia="Calibri"/>
                <w:b/>
                <w:sz w:val="24"/>
                <w:szCs w:val="24"/>
              </w:rPr>
              <w:t>2024.</w:t>
            </w:r>
          </w:p>
        </w:tc>
      </w:tr>
      <w:tr w:rsidR="00FB007A" w:rsidRPr="003640CC" w14:paraId="2F7D2498" w14:textId="77777777" w:rsidTr="003640CC">
        <w:tc>
          <w:tcPr>
            <w:tcW w:w="3407" w:type="dxa"/>
            <w:tcBorders>
              <w:top w:val="single" w:sz="4" w:space="0" w:color="auto"/>
              <w:left w:val="single" w:sz="4" w:space="0" w:color="auto"/>
              <w:bottom w:val="single" w:sz="4" w:space="0" w:color="auto"/>
              <w:right w:val="single" w:sz="4" w:space="0" w:color="auto"/>
            </w:tcBorders>
            <w:hideMark/>
          </w:tcPr>
          <w:p w14:paraId="4D0F0918" w14:textId="77777777" w:rsidR="00FB007A" w:rsidRPr="003640CC" w:rsidRDefault="00FB007A" w:rsidP="003640CC">
            <w:pPr>
              <w:jc w:val="both"/>
              <w:rPr>
                <w:rFonts w:eastAsia="Calibri"/>
                <w:sz w:val="24"/>
                <w:szCs w:val="24"/>
              </w:rPr>
            </w:pPr>
            <w:r w:rsidRPr="003640CC">
              <w:rPr>
                <w:rFonts w:eastAsia="Calibri"/>
                <w:sz w:val="24"/>
                <w:szCs w:val="24"/>
              </w:rPr>
              <w:t>Iepriekšējā kalendārajā gadā veikto valsts apmaksāto šķidruma citoloģijas izmeklējumu skaits</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DCB742" w14:textId="77777777" w:rsidR="00FB007A" w:rsidRPr="003640CC" w:rsidRDefault="00FB007A" w:rsidP="003640CC">
            <w:pPr>
              <w:jc w:val="both"/>
              <w:rPr>
                <w:rFonts w:eastAsia="Calibri"/>
                <w:sz w:val="24"/>
                <w:szCs w:val="24"/>
              </w:rPr>
            </w:pPr>
            <w:r w:rsidRPr="003640CC">
              <w:rPr>
                <w:rFonts w:eastAsia="Calibri"/>
                <w:sz w:val="24"/>
                <w:szCs w:val="24"/>
              </w:rPr>
              <w:t>&lt;15000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6F3B24" w14:textId="77777777" w:rsidR="00FB007A" w:rsidRPr="003640CC" w:rsidRDefault="00FB007A" w:rsidP="003640CC">
            <w:pPr>
              <w:jc w:val="both"/>
              <w:rPr>
                <w:rFonts w:eastAsia="Calibri"/>
                <w:sz w:val="24"/>
                <w:szCs w:val="24"/>
              </w:rPr>
            </w:pPr>
            <w:r w:rsidRPr="003640CC">
              <w:rPr>
                <w:rFonts w:eastAsia="Calibri"/>
                <w:sz w:val="24"/>
                <w:szCs w:val="24"/>
              </w:rPr>
              <w:t>&lt;15000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3C9796" w14:textId="77777777" w:rsidR="00FB007A" w:rsidRPr="003640CC" w:rsidRDefault="00FB007A" w:rsidP="003640CC">
            <w:pPr>
              <w:jc w:val="both"/>
              <w:rPr>
                <w:rFonts w:eastAsia="Calibri"/>
                <w:sz w:val="24"/>
                <w:szCs w:val="24"/>
              </w:rPr>
            </w:pPr>
            <w:r w:rsidRPr="003640CC">
              <w:rPr>
                <w:rFonts w:eastAsia="Calibri"/>
                <w:sz w:val="24"/>
                <w:szCs w:val="24"/>
              </w:rPr>
              <w:t>&lt;15000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904895" w14:textId="77777777" w:rsidR="00FB007A" w:rsidRPr="003640CC" w:rsidRDefault="00FB007A" w:rsidP="003640CC">
            <w:pPr>
              <w:jc w:val="both"/>
              <w:rPr>
                <w:rFonts w:eastAsia="Calibri"/>
                <w:sz w:val="24"/>
                <w:szCs w:val="24"/>
              </w:rPr>
            </w:pPr>
            <w:r w:rsidRPr="003640CC">
              <w:rPr>
                <w:rFonts w:eastAsia="Calibri"/>
                <w:sz w:val="24"/>
                <w:szCs w:val="24"/>
              </w:rPr>
              <w:t>≥15000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3D55F8" w14:textId="77777777" w:rsidR="00FB007A" w:rsidRPr="003640CC" w:rsidRDefault="00FB007A" w:rsidP="003640CC">
            <w:pPr>
              <w:jc w:val="both"/>
              <w:rPr>
                <w:rFonts w:eastAsia="Calibri"/>
                <w:sz w:val="24"/>
                <w:szCs w:val="24"/>
              </w:rPr>
            </w:pPr>
            <w:r w:rsidRPr="003640CC">
              <w:rPr>
                <w:rFonts w:eastAsia="Calibri"/>
                <w:sz w:val="24"/>
                <w:szCs w:val="24"/>
              </w:rPr>
              <w:t>≥15000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17DCC3" w14:textId="77777777" w:rsidR="00FB007A" w:rsidRPr="003640CC" w:rsidRDefault="00FB007A" w:rsidP="003640CC">
            <w:pPr>
              <w:jc w:val="both"/>
              <w:rPr>
                <w:rFonts w:eastAsia="Calibri"/>
                <w:sz w:val="24"/>
                <w:szCs w:val="24"/>
              </w:rPr>
            </w:pPr>
            <w:r w:rsidRPr="003640CC">
              <w:rPr>
                <w:rFonts w:eastAsia="Calibri"/>
                <w:sz w:val="24"/>
                <w:szCs w:val="24"/>
              </w:rPr>
              <w:t>≥15000</w:t>
            </w:r>
          </w:p>
        </w:tc>
      </w:tr>
    </w:tbl>
    <w:p w14:paraId="6EF1A984" w14:textId="77777777" w:rsidR="00FB007A" w:rsidRPr="003640CC" w:rsidRDefault="00FB007A" w:rsidP="003640CC">
      <w:pPr>
        <w:pStyle w:val="ListParagraph"/>
        <w:ind w:left="0"/>
        <w:jc w:val="both"/>
        <w:rPr>
          <w:sz w:val="24"/>
          <w:szCs w:val="24"/>
        </w:rPr>
      </w:pPr>
    </w:p>
    <w:p w14:paraId="48012609" w14:textId="77777777" w:rsidR="00FB007A" w:rsidRPr="003640CC" w:rsidRDefault="00FB007A" w:rsidP="003640CC">
      <w:pPr>
        <w:pStyle w:val="ListParagraph"/>
        <w:numPr>
          <w:ilvl w:val="1"/>
          <w:numId w:val="1"/>
        </w:numPr>
        <w:ind w:left="0" w:firstLine="0"/>
        <w:jc w:val="both"/>
        <w:rPr>
          <w:sz w:val="24"/>
          <w:szCs w:val="24"/>
        </w:rPr>
      </w:pPr>
      <w:r w:rsidRPr="003640CC">
        <w:rPr>
          <w:sz w:val="24"/>
          <w:szCs w:val="24"/>
        </w:rPr>
        <w:t xml:space="preserve">DIENESTS ir tiesīgs noteikt papildus </w:t>
      </w:r>
      <w:r w:rsidRPr="003640CC">
        <w:rPr>
          <w:bCs/>
          <w:sz w:val="24"/>
          <w:szCs w:val="24"/>
        </w:rPr>
        <w:t xml:space="preserve">izmeklējumu </w:t>
      </w:r>
      <w:r w:rsidRPr="003640CC">
        <w:rPr>
          <w:sz w:val="24"/>
          <w:szCs w:val="24"/>
        </w:rPr>
        <w:t>kvalitātes vērtēšanas kritērijus vai mainīt esošos, par to iepriekš rakstiski informējot IZPILDĪTĀJU.</w:t>
      </w:r>
    </w:p>
    <w:p w14:paraId="6F1D157D" w14:textId="77777777" w:rsidR="00FB007A" w:rsidRPr="003640CC" w:rsidRDefault="00FB007A" w:rsidP="003640CC">
      <w:pPr>
        <w:jc w:val="both"/>
        <w:rPr>
          <w:sz w:val="24"/>
          <w:szCs w:val="24"/>
        </w:rPr>
      </w:pPr>
    </w:p>
    <w:p w14:paraId="50AF31D1" w14:textId="77777777" w:rsidR="00DF52E9" w:rsidRPr="003640CC" w:rsidRDefault="00DF52E9" w:rsidP="003640CC">
      <w:pPr>
        <w:jc w:val="both"/>
        <w:rPr>
          <w:sz w:val="24"/>
          <w:szCs w:val="24"/>
        </w:rPr>
      </w:pPr>
    </w:p>
    <w:sectPr w:rsidR="00DF52E9" w:rsidRPr="003640CC" w:rsidSect="00FB007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CA76D" w14:textId="77777777" w:rsidR="00EF63C1" w:rsidRDefault="00EF63C1" w:rsidP="00FB007A">
      <w:r>
        <w:separator/>
      </w:r>
    </w:p>
  </w:endnote>
  <w:endnote w:type="continuationSeparator" w:id="0">
    <w:p w14:paraId="3908D7AF" w14:textId="77777777" w:rsidR="00EF63C1" w:rsidRDefault="00EF63C1" w:rsidP="00FB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F78E" w14:textId="77777777" w:rsidR="00F260A5" w:rsidRDefault="00F26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C67C" w14:textId="77777777" w:rsidR="00F260A5" w:rsidRDefault="00F26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112E" w14:textId="77777777" w:rsidR="00F260A5" w:rsidRDefault="00F26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DDCD1" w14:textId="77777777" w:rsidR="00EF63C1" w:rsidRDefault="00EF63C1" w:rsidP="00FB007A">
      <w:r>
        <w:separator/>
      </w:r>
    </w:p>
  </w:footnote>
  <w:footnote w:type="continuationSeparator" w:id="0">
    <w:p w14:paraId="57311182" w14:textId="77777777" w:rsidR="00EF63C1" w:rsidRDefault="00EF63C1" w:rsidP="00FB007A">
      <w:r>
        <w:continuationSeparator/>
      </w:r>
    </w:p>
  </w:footnote>
  <w:footnote w:id="1">
    <w:p w14:paraId="49CE3DAB" w14:textId="77777777" w:rsidR="00FB007A" w:rsidRDefault="00FB007A" w:rsidP="00FB007A">
      <w:pPr>
        <w:pStyle w:val="FootnoteText"/>
      </w:pPr>
      <w:r>
        <w:rPr>
          <w:rStyle w:val="FootnoteReference"/>
          <w:rFonts w:eastAsiaTheme="majorEastAsia"/>
        </w:rPr>
        <w:footnoteRef/>
      </w:r>
      <w:r>
        <w:t xml:space="preserve"> 2020 </w:t>
      </w:r>
      <w:proofErr w:type="spellStart"/>
      <w:r>
        <w:t>list</w:t>
      </w:r>
      <w:proofErr w:type="spellEnd"/>
      <w:r>
        <w:t xml:space="preserve"> </w:t>
      </w:r>
      <w:proofErr w:type="spellStart"/>
      <w:r>
        <w:t>of</w:t>
      </w:r>
      <w:proofErr w:type="spellEnd"/>
      <w:r>
        <w:t xml:space="preserve"> </w:t>
      </w:r>
      <w:proofErr w:type="spellStart"/>
      <w:r>
        <w:t>human</w:t>
      </w:r>
      <w:proofErr w:type="spellEnd"/>
      <w:r>
        <w:t xml:space="preserve"> </w:t>
      </w:r>
      <w:proofErr w:type="spellStart"/>
      <w:r>
        <w:t>papillomavirus</w:t>
      </w:r>
      <w:proofErr w:type="spellEnd"/>
      <w:r>
        <w:t xml:space="preserve"> </w:t>
      </w:r>
      <w:proofErr w:type="spellStart"/>
      <w:r>
        <w:t>assays</w:t>
      </w:r>
      <w:proofErr w:type="spellEnd"/>
      <w:r>
        <w:t xml:space="preserve"> </w:t>
      </w:r>
      <w:proofErr w:type="spellStart"/>
      <w:r>
        <w:t>suitable</w:t>
      </w:r>
      <w:proofErr w:type="spellEnd"/>
      <w:r>
        <w:t xml:space="preserve"> </w:t>
      </w:r>
      <w:proofErr w:type="spellStart"/>
      <w:r>
        <w:t>for</w:t>
      </w:r>
      <w:proofErr w:type="spellEnd"/>
      <w:r>
        <w:t xml:space="preserve"> </w:t>
      </w:r>
      <w:proofErr w:type="spellStart"/>
      <w:r>
        <w:t>primary</w:t>
      </w:r>
      <w:proofErr w:type="spellEnd"/>
      <w:r>
        <w:t xml:space="preserve"> </w:t>
      </w:r>
      <w:proofErr w:type="spellStart"/>
      <w:r>
        <w:t>cervical</w:t>
      </w:r>
      <w:proofErr w:type="spellEnd"/>
      <w:r>
        <w:t xml:space="preserve"> </w:t>
      </w:r>
      <w:proofErr w:type="spellStart"/>
      <w:r>
        <w:t>cancer</w:t>
      </w:r>
      <w:proofErr w:type="spellEnd"/>
      <w:r>
        <w:t xml:space="preserve"> </w:t>
      </w:r>
      <w:proofErr w:type="spellStart"/>
      <w:r>
        <w:t>screening</w:t>
      </w:r>
      <w:proofErr w:type="spellEnd"/>
    </w:p>
    <w:p w14:paraId="08209A46" w14:textId="77777777" w:rsidR="00FB007A" w:rsidRDefault="00FB007A" w:rsidP="00FB007A">
      <w:pPr>
        <w:pStyle w:val="FootnoteText"/>
      </w:pPr>
      <w:proofErr w:type="spellStart"/>
      <w:r>
        <w:t>Marc</w:t>
      </w:r>
      <w:proofErr w:type="spellEnd"/>
      <w:r>
        <w:t xml:space="preserve"> </w:t>
      </w:r>
      <w:proofErr w:type="spellStart"/>
      <w:r>
        <w:t>Arbyn</w:t>
      </w:r>
      <w:proofErr w:type="spellEnd"/>
      <w:r>
        <w:t xml:space="preserve">, </w:t>
      </w:r>
      <w:proofErr w:type="spellStart"/>
      <w:r>
        <w:t>Marie</w:t>
      </w:r>
      <w:proofErr w:type="spellEnd"/>
      <w:r>
        <w:t xml:space="preserve"> Simon, </w:t>
      </w:r>
      <w:proofErr w:type="spellStart"/>
      <w:r>
        <w:t>Eliana</w:t>
      </w:r>
      <w:proofErr w:type="spellEnd"/>
      <w:r>
        <w:t xml:space="preserve"> </w:t>
      </w:r>
      <w:proofErr w:type="spellStart"/>
      <w:r>
        <w:t>Peeters</w:t>
      </w:r>
      <w:proofErr w:type="spellEnd"/>
      <w:r>
        <w:t xml:space="preserve">, </w:t>
      </w:r>
      <w:proofErr w:type="spellStart"/>
      <w:r>
        <w:t>Lan</w:t>
      </w:r>
      <w:proofErr w:type="spellEnd"/>
      <w:r>
        <w:t xml:space="preserve"> </w:t>
      </w:r>
      <w:proofErr w:type="spellStart"/>
      <w:r>
        <w:t>Xu</w:t>
      </w:r>
      <w:proofErr w:type="spellEnd"/>
      <w:r>
        <w:t xml:space="preserve">, </w:t>
      </w:r>
      <w:proofErr w:type="spellStart"/>
      <w:r>
        <w:t>Chris</w:t>
      </w:r>
      <w:proofErr w:type="spellEnd"/>
      <w:r>
        <w:t xml:space="preserve"> J.L.M. Meijer, </w:t>
      </w:r>
      <w:proofErr w:type="spellStart"/>
      <w:r>
        <w:t>et</w:t>
      </w:r>
      <w:proofErr w:type="spellEnd"/>
      <w:r>
        <w:t xml:space="preserve"> </w:t>
      </w:r>
      <w:proofErr w:type="spellStart"/>
      <w:r>
        <w:t>al</w:t>
      </w:r>
      <w:proofErr w:type="spellEnd"/>
      <w:r>
        <w:t>.</w:t>
      </w:r>
    </w:p>
    <w:p w14:paraId="65CB180A" w14:textId="77777777" w:rsidR="00FB007A" w:rsidRDefault="00FB007A" w:rsidP="00FB007A">
      <w:pPr>
        <w:pStyle w:val="FootnoteText"/>
      </w:pPr>
      <w:r>
        <w:t>https://doi.org/10.1016/j.cmi.2021.04.031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BEF5" w14:textId="77777777" w:rsidR="00F260A5" w:rsidRDefault="00F26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AEB2E" w14:textId="77777777" w:rsidR="00F260A5" w:rsidRPr="00F260A5" w:rsidRDefault="00F260A5" w:rsidP="00F260A5">
    <w:pPr>
      <w:pStyle w:val="Header"/>
      <w:jc w:val="right"/>
      <w:rPr>
        <w:sz w:val="22"/>
        <w:szCs w:val="22"/>
      </w:rPr>
    </w:pPr>
    <w:r w:rsidRPr="00F260A5">
      <w:rPr>
        <w:i/>
        <w:iCs/>
        <w:sz w:val="22"/>
        <w:szCs w:val="22"/>
      </w:rPr>
      <w:t>spēkā no 2025. gada 1. janvāra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7ACF0" w14:textId="77777777" w:rsidR="00F260A5" w:rsidRDefault="00F26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160B1"/>
    <w:multiLevelType w:val="multilevel"/>
    <w:tmpl w:val="6FF2FDD8"/>
    <w:lvl w:ilvl="0">
      <w:start w:val="1"/>
      <w:numFmt w:val="decimal"/>
      <w:lvlText w:val="%1."/>
      <w:lvlJc w:val="left"/>
      <w:pPr>
        <w:ind w:left="643" w:hanging="360"/>
      </w:pPr>
      <w:rPr>
        <w:rFonts w:hint="default"/>
        <w:b/>
        <w:bCs/>
      </w:rPr>
    </w:lvl>
    <w:lvl w:ilvl="1">
      <w:start w:val="1"/>
      <w:numFmt w:val="decimal"/>
      <w:isLgl/>
      <w:lvlText w:val="%1.%2."/>
      <w:lvlJc w:val="left"/>
      <w:pPr>
        <w:ind w:left="927" w:hanging="360"/>
      </w:pPr>
      <w:rPr>
        <w:rFonts w:hint="default"/>
        <w:b/>
        <w:bCs/>
        <w:sz w:val="24"/>
        <w:szCs w:val="24"/>
      </w:rPr>
    </w:lvl>
    <w:lvl w:ilvl="2">
      <w:start w:val="1"/>
      <w:numFmt w:val="decimal"/>
      <w:isLgl/>
      <w:lvlText w:val="%1.%2.%3."/>
      <w:lvlJc w:val="left"/>
      <w:pPr>
        <w:ind w:left="1996" w:hanging="720"/>
      </w:pPr>
      <w:rPr>
        <w:rFonts w:hint="default"/>
        <w:i w:val="0"/>
        <w:iCs w:val="0"/>
      </w:rPr>
    </w:lvl>
    <w:lvl w:ilvl="3">
      <w:start w:val="1"/>
      <w:numFmt w:val="decimal"/>
      <w:isLgl/>
      <w:lvlText w:val="%1.%2.%3.%4."/>
      <w:lvlJc w:val="left"/>
      <w:pPr>
        <w:ind w:left="2083" w:hanging="720"/>
      </w:pPr>
      <w:rPr>
        <w:rFonts w:hint="default"/>
      </w:rPr>
    </w:lvl>
    <w:lvl w:ilvl="4">
      <w:start w:val="1"/>
      <w:numFmt w:val="decimal"/>
      <w:isLgl/>
      <w:lvlText w:val="%1.%2.%3.%4.%5."/>
      <w:lvlJc w:val="left"/>
      <w:pPr>
        <w:ind w:left="2803" w:hanging="1080"/>
      </w:pPr>
      <w:rPr>
        <w:rFonts w:hint="default"/>
      </w:rPr>
    </w:lvl>
    <w:lvl w:ilvl="5">
      <w:start w:val="1"/>
      <w:numFmt w:val="decimal"/>
      <w:isLgl/>
      <w:lvlText w:val="%1.%2.%3.%4.%5.%6."/>
      <w:lvlJc w:val="left"/>
      <w:pPr>
        <w:ind w:left="3163" w:hanging="1080"/>
      </w:pPr>
      <w:rPr>
        <w:rFonts w:hint="default"/>
      </w:rPr>
    </w:lvl>
    <w:lvl w:ilvl="6">
      <w:start w:val="1"/>
      <w:numFmt w:val="decimal"/>
      <w:isLgl/>
      <w:lvlText w:val="%1.%2.%3.%4.%5.%6.%7."/>
      <w:lvlJc w:val="left"/>
      <w:pPr>
        <w:ind w:left="3883"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63" w:hanging="1800"/>
      </w:pPr>
      <w:rPr>
        <w:rFonts w:hint="default"/>
      </w:rPr>
    </w:lvl>
  </w:abstractNum>
  <w:num w:numId="1" w16cid:durableId="1049258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B6D"/>
    <w:rsid w:val="00164B6D"/>
    <w:rsid w:val="003640CC"/>
    <w:rsid w:val="007F7AFF"/>
    <w:rsid w:val="00C207F2"/>
    <w:rsid w:val="00D770F8"/>
    <w:rsid w:val="00DF52E9"/>
    <w:rsid w:val="00E6184B"/>
    <w:rsid w:val="00EF63C1"/>
    <w:rsid w:val="00F260A5"/>
    <w:rsid w:val="00FB00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CFFCC"/>
  <w15:chartTrackingRefBased/>
  <w15:docId w15:val="{B3036EB3-E4D6-44DC-B339-D44E2AF8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07A"/>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164B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4B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4B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B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B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B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B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B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B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B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4B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4B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B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B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B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B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B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B6D"/>
    <w:rPr>
      <w:rFonts w:eastAsiaTheme="majorEastAsia" w:cstheme="majorBidi"/>
      <w:color w:val="272727" w:themeColor="text1" w:themeTint="D8"/>
    </w:rPr>
  </w:style>
  <w:style w:type="paragraph" w:styleId="Title">
    <w:name w:val="Title"/>
    <w:basedOn w:val="Normal"/>
    <w:next w:val="Normal"/>
    <w:link w:val="TitleChar"/>
    <w:uiPriority w:val="10"/>
    <w:qFormat/>
    <w:rsid w:val="00164B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B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B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B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B6D"/>
    <w:pPr>
      <w:spacing w:before="160"/>
      <w:jc w:val="center"/>
    </w:pPr>
    <w:rPr>
      <w:i/>
      <w:iCs/>
      <w:color w:val="404040" w:themeColor="text1" w:themeTint="BF"/>
    </w:rPr>
  </w:style>
  <w:style w:type="character" w:customStyle="1" w:styleId="QuoteChar">
    <w:name w:val="Quote Char"/>
    <w:basedOn w:val="DefaultParagraphFont"/>
    <w:link w:val="Quote"/>
    <w:uiPriority w:val="29"/>
    <w:rsid w:val="00164B6D"/>
    <w:rPr>
      <w:i/>
      <w:iCs/>
      <w:color w:val="404040" w:themeColor="text1" w:themeTint="BF"/>
    </w:rPr>
  </w:style>
  <w:style w:type="paragraph" w:styleId="ListParagraph">
    <w:name w:val="List Paragraph"/>
    <w:basedOn w:val="Normal"/>
    <w:uiPriority w:val="34"/>
    <w:qFormat/>
    <w:rsid w:val="00164B6D"/>
    <w:pPr>
      <w:ind w:left="720"/>
      <w:contextualSpacing/>
    </w:pPr>
  </w:style>
  <w:style w:type="character" w:styleId="IntenseEmphasis">
    <w:name w:val="Intense Emphasis"/>
    <w:basedOn w:val="DefaultParagraphFont"/>
    <w:uiPriority w:val="21"/>
    <w:qFormat/>
    <w:rsid w:val="00164B6D"/>
    <w:rPr>
      <w:i/>
      <w:iCs/>
      <w:color w:val="0F4761" w:themeColor="accent1" w:themeShade="BF"/>
    </w:rPr>
  </w:style>
  <w:style w:type="paragraph" w:styleId="IntenseQuote">
    <w:name w:val="Intense Quote"/>
    <w:basedOn w:val="Normal"/>
    <w:next w:val="Normal"/>
    <w:link w:val="IntenseQuoteChar"/>
    <w:uiPriority w:val="30"/>
    <w:qFormat/>
    <w:rsid w:val="00164B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B6D"/>
    <w:rPr>
      <w:i/>
      <w:iCs/>
      <w:color w:val="0F4761" w:themeColor="accent1" w:themeShade="BF"/>
    </w:rPr>
  </w:style>
  <w:style w:type="character" w:styleId="IntenseReference">
    <w:name w:val="Intense Reference"/>
    <w:basedOn w:val="DefaultParagraphFont"/>
    <w:uiPriority w:val="32"/>
    <w:qFormat/>
    <w:rsid w:val="00164B6D"/>
    <w:rPr>
      <w:b/>
      <w:bCs/>
      <w:smallCaps/>
      <w:color w:val="0F4761" w:themeColor="accent1" w:themeShade="BF"/>
      <w:spacing w:val="5"/>
    </w:rPr>
  </w:style>
  <w:style w:type="paragraph" w:styleId="FootnoteText">
    <w:name w:val="footnote text"/>
    <w:basedOn w:val="Normal"/>
    <w:link w:val="FootnoteTextChar"/>
    <w:uiPriority w:val="99"/>
    <w:semiHidden/>
    <w:unhideWhenUsed/>
    <w:rsid w:val="00FB007A"/>
  </w:style>
  <w:style w:type="character" w:customStyle="1" w:styleId="FootnoteTextChar">
    <w:name w:val="Footnote Text Char"/>
    <w:basedOn w:val="DefaultParagraphFont"/>
    <w:link w:val="FootnoteText"/>
    <w:uiPriority w:val="99"/>
    <w:semiHidden/>
    <w:rsid w:val="00FB007A"/>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FB007A"/>
    <w:rPr>
      <w:vertAlign w:val="superscript"/>
    </w:rPr>
  </w:style>
  <w:style w:type="paragraph" w:styleId="Header">
    <w:name w:val="header"/>
    <w:basedOn w:val="Normal"/>
    <w:link w:val="HeaderChar"/>
    <w:uiPriority w:val="99"/>
    <w:unhideWhenUsed/>
    <w:rsid w:val="00F260A5"/>
    <w:pPr>
      <w:tabs>
        <w:tab w:val="center" w:pos="4153"/>
        <w:tab w:val="right" w:pos="8306"/>
      </w:tabs>
    </w:pPr>
  </w:style>
  <w:style w:type="character" w:customStyle="1" w:styleId="HeaderChar">
    <w:name w:val="Header Char"/>
    <w:basedOn w:val="DefaultParagraphFont"/>
    <w:link w:val="Header"/>
    <w:uiPriority w:val="99"/>
    <w:rsid w:val="00F260A5"/>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F260A5"/>
    <w:pPr>
      <w:tabs>
        <w:tab w:val="center" w:pos="4153"/>
        <w:tab w:val="right" w:pos="8306"/>
      </w:tabs>
    </w:pPr>
  </w:style>
  <w:style w:type="character" w:customStyle="1" w:styleId="FooterChar">
    <w:name w:val="Footer Char"/>
    <w:basedOn w:val="DefaultParagraphFont"/>
    <w:link w:val="Footer"/>
    <w:uiPriority w:val="99"/>
    <w:rsid w:val="00F260A5"/>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53918">
      <w:bodyDiv w:val="1"/>
      <w:marLeft w:val="0"/>
      <w:marRight w:val="0"/>
      <w:marTop w:val="0"/>
      <w:marBottom w:val="0"/>
      <w:divBdr>
        <w:top w:val="none" w:sz="0" w:space="0" w:color="auto"/>
        <w:left w:val="none" w:sz="0" w:space="0" w:color="auto"/>
        <w:bottom w:val="none" w:sz="0" w:space="0" w:color="auto"/>
        <w:right w:val="none" w:sz="0" w:space="0" w:color="auto"/>
      </w:divBdr>
    </w:div>
    <w:div w:id="77073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3478</Words>
  <Characters>1984</Characters>
  <Application>Microsoft Office Word</Application>
  <DocSecurity>0</DocSecurity>
  <Lines>16</Lines>
  <Paragraphs>10</Paragraphs>
  <ScaleCrop>false</ScaleCrop>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Anna Ziemele</cp:lastModifiedBy>
  <cp:revision>4</cp:revision>
  <dcterms:created xsi:type="dcterms:W3CDTF">2024-06-19T09:15:00Z</dcterms:created>
  <dcterms:modified xsi:type="dcterms:W3CDTF">2025-02-06T09:22:00Z</dcterms:modified>
</cp:coreProperties>
</file>