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8AF" w:rsidRPr="000E48AF" w:rsidRDefault="000E48AF" w:rsidP="000E48AF">
      <w:pPr>
        <w:jc w:val="center"/>
        <w:rPr>
          <w:rFonts w:ascii="Times New Roman" w:hAnsi="Times New Roman"/>
          <w:b/>
          <w:sz w:val="24"/>
          <w:szCs w:val="24"/>
        </w:rPr>
      </w:pPr>
      <w:r w:rsidRPr="000E48AF">
        <w:rPr>
          <w:rFonts w:ascii="Times New Roman" w:hAnsi="Times New Roman"/>
          <w:b/>
          <w:sz w:val="24"/>
          <w:szCs w:val="24"/>
        </w:rPr>
        <w:t>Ārstniecības iestādes stacionārā darba kvalitātes indikatīvo rādītāju kārtība</w:t>
      </w:r>
    </w:p>
    <w:p w:rsidR="0042498C" w:rsidRPr="0042498C" w:rsidRDefault="0042498C" w:rsidP="004249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DIENESTS ar IZPILDĪTĀJU vienojas par šī</w:t>
      </w:r>
      <w:r w:rsidR="00F556A2" w:rsidRPr="0042498C">
        <w:rPr>
          <w:rFonts w:ascii="Times New Roman" w:hAnsi="Times New Roman"/>
          <w:sz w:val="24"/>
          <w:szCs w:val="24"/>
        </w:rPr>
        <w:t xml:space="preserve">s </w:t>
      </w:r>
      <w:r w:rsidR="00F363CB" w:rsidRPr="0042498C">
        <w:rPr>
          <w:rFonts w:ascii="Times New Roman" w:hAnsi="Times New Roman"/>
          <w:sz w:val="24"/>
          <w:szCs w:val="24"/>
        </w:rPr>
        <w:t>kārtības</w:t>
      </w:r>
      <w:r w:rsidRPr="0042498C">
        <w:rPr>
          <w:rFonts w:ascii="Times New Roman" w:hAnsi="Times New Roman"/>
          <w:sz w:val="24"/>
          <w:szCs w:val="24"/>
        </w:rPr>
        <w:t xml:space="preserve"> 2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punktā norādīto ārstniecības iestādes</w:t>
      </w:r>
      <w:r w:rsidR="001C548D" w:rsidRPr="0042498C">
        <w:rPr>
          <w:rFonts w:ascii="Times New Roman" w:hAnsi="Times New Roman"/>
          <w:color w:val="000000"/>
          <w:sz w:val="24"/>
          <w:szCs w:val="24"/>
        </w:rPr>
        <w:t xml:space="preserve"> stacionārā</w:t>
      </w:r>
      <w:r w:rsidRPr="0042498C">
        <w:rPr>
          <w:rFonts w:ascii="Times New Roman" w:hAnsi="Times New Roman"/>
          <w:color w:val="000000"/>
          <w:sz w:val="24"/>
          <w:szCs w:val="24"/>
        </w:rPr>
        <w:t xml:space="preserve"> darba kvalitātes indikatīvo vai efektivitātes indikatīvo rādītāju (turpmāk</w:t>
      </w:r>
      <w:r w:rsidR="00EA47D8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- ind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>ikatīvie rādītāji) uzskaiti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 xml:space="preserve"> par</w:t>
      </w:r>
      <w:r w:rsidR="00143B26" w:rsidRPr="0042498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F941EE">
        <w:rPr>
          <w:rFonts w:ascii="Times New Roman" w:hAnsi="Times New Roman"/>
          <w:color w:val="000000"/>
          <w:sz w:val="24"/>
          <w:szCs w:val="24"/>
        </w:rPr>
        <w:t>6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, 202</w:t>
      </w:r>
      <w:r w:rsidR="00F941EE">
        <w:rPr>
          <w:rFonts w:ascii="Times New Roman" w:hAnsi="Times New Roman"/>
          <w:color w:val="000000"/>
          <w:sz w:val="24"/>
          <w:szCs w:val="24"/>
        </w:rPr>
        <w:t>7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 un 202</w:t>
      </w:r>
      <w:r w:rsidR="00F941EE">
        <w:rPr>
          <w:rFonts w:ascii="Times New Roman" w:hAnsi="Times New Roman"/>
          <w:color w:val="000000"/>
          <w:sz w:val="24"/>
          <w:szCs w:val="24"/>
        </w:rPr>
        <w:t>8</w:t>
      </w:r>
      <w:r w:rsidR="001C2FCE" w:rsidRPr="0042498C">
        <w:rPr>
          <w:rFonts w:ascii="Times New Roman" w:hAnsi="Times New Roman"/>
          <w:color w:val="000000"/>
          <w:sz w:val="24"/>
          <w:szCs w:val="24"/>
        </w:rPr>
        <w:t>.</w:t>
      </w:r>
      <w:r w:rsidR="00F363CB" w:rsidRPr="004249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498C">
        <w:rPr>
          <w:rFonts w:ascii="Times New Roman" w:hAnsi="Times New Roman"/>
          <w:color w:val="000000"/>
          <w:sz w:val="24"/>
          <w:szCs w:val="24"/>
        </w:rPr>
        <w:t>gad</w:t>
      </w:r>
      <w:r w:rsidR="00AD2E57" w:rsidRPr="0042498C">
        <w:rPr>
          <w:rFonts w:ascii="Times New Roman" w:hAnsi="Times New Roman"/>
          <w:color w:val="000000"/>
          <w:sz w:val="24"/>
          <w:szCs w:val="24"/>
        </w:rPr>
        <w:t>u</w:t>
      </w:r>
      <w:r w:rsidRPr="0042498C">
        <w:rPr>
          <w:rFonts w:ascii="Times New Roman" w:hAnsi="Times New Roman"/>
          <w:color w:val="000000"/>
          <w:sz w:val="24"/>
          <w:szCs w:val="24"/>
        </w:rPr>
        <w:t>.</w:t>
      </w:r>
    </w:p>
    <w:p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1DBD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Ja IZPILDĪTĀJA kopējais faktiskais valsts apmaksāto stacionēšanas gadījumu skaits</w:t>
      </w:r>
      <w:r w:rsidR="007157CD" w:rsidRPr="0042498C">
        <w:rPr>
          <w:rFonts w:ascii="Times New Roman" w:hAnsi="Times New Roman"/>
          <w:sz w:val="24"/>
          <w:szCs w:val="24"/>
        </w:rPr>
        <w:t xml:space="preserve"> ar diagnozi saistītā grupā (</w:t>
      </w:r>
      <w:r w:rsidRPr="0042498C">
        <w:rPr>
          <w:rFonts w:ascii="Times New Roman" w:hAnsi="Times New Roman"/>
          <w:sz w:val="24"/>
          <w:szCs w:val="24"/>
        </w:rPr>
        <w:t>DRG</w:t>
      </w:r>
      <w:r w:rsidR="007157CD" w:rsidRPr="0042498C">
        <w:rPr>
          <w:rFonts w:ascii="Times New Roman" w:hAnsi="Times New Roman"/>
          <w:sz w:val="24"/>
          <w:szCs w:val="24"/>
        </w:rPr>
        <w:t>)</w:t>
      </w:r>
      <w:r w:rsidRPr="0042498C">
        <w:rPr>
          <w:rFonts w:ascii="Times New Roman" w:hAnsi="Times New Roman"/>
          <w:sz w:val="24"/>
          <w:szCs w:val="24"/>
        </w:rPr>
        <w:t xml:space="preserve"> ietilpstošajiem pakalpojumiem un faktiskais valsts apmaksāto stacionēšanas gadījumu skaits katrā no pakalpojumu programmām, kurām Ministru kabineta </w:t>
      </w:r>
      <w:r w:rsidR="00A41F48" w:rsidRPr="0042498C">
        <w:rPr>
          <w:rFonts w:ascii="Times New Roman" w:hAnsi="Times New Roman"/>
          <w:sz w:val="24"/>
          <w:szCs w:val="24"/>
        </w:rPr>
        <w:t>2018. gada 28. august</w:t>
      </w:r>
      <w:r w:rsidRPr="0042498C">
        <w:rPr>
          <w:rFonts w:ascii="Times New Roman" w:hAnsi="Times New Roman"/>
          <w:sz w:val="24"/>
          <w:szCs w:val="24"/>
        </w:rPr>
        <w:t>a noteikumu Nr.</w:t>
      </w:r>
      <w:r w:rsidR="00A41F48" w:rsidRPr="0042498C">
        <w:rPr>
          <w:rFonts w:ascii="Times New Roman" w:hAnsi="Times New Roman"/>
          <w:sz w:val="24"/>
          <w:szCs w:val="24"/>
        </w:rPr>
        <w:t> 555</w:t>
      </w:r>
      <w:r w:rsidRPr="0042498C">
        <w:rPr>
          <w:rFonts w:ascii="Times New Roman" w:hAnsi="Times New Roman"/>
          <w:sz w:val="24"/>
          <w:szCs w:val="24"/>
        </w:rPr>
        <w:t xml:space="preserve"> “Veselības aprūpes organizēšanas un </w:t>
      </w:r>
      <w:r w:rsidR="00A41F48" w:rsidRPr="0042498C">
        <w:rPr>
          <w:rFonts w:ascii="Times New Roman" w:hAnsi="Times New Roman"/>
          <w:sz w:val="24"/>
          <w:szCs w:val="24"/>
        </w:rPr>
        <w:t>samaksas kārtība” 6</w:t>
      </w:r>
      <w:r w:rsidRPr="0042498C">
        <w:rPr>
          <w:rFonts w:ascii="Times New Roman" w:hAnsi="Times New Roman"/>
          <w:sz w:val="24"/>
          <w:szCs w:val="24"/>
        </w:rPr>
        <w:t>.</w:t>
      </w:r>
      <w:r w:rsidR="00A41F48" w:rsidRPr="0042498C">
        <w:rPr>
          <w:rFonts w:ascii="Times New Roman" w:hAnsi="Times New Roman"/>
          <w:sz w:val="24"/>
          <w:szCs w:val="24"/>
        </w:rPr>
        <w:t> pielikuma 2</w:t>
      </w:r>
      <w:r w:rsidRPr="0042498C">
        <w:rPr>
          <w:rFonts w:ascii="Times New Roman" w:hAnsi="Times New Roman"/>
          <w:sz w:val="24"/>
          <w:szCs w:val="24"/>
        </w:rPr>
        <w:t>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 xml:space="preserve">punktā ir noteikts viena pacienta ārstēšanas tarifs,  pirmajā pusgadā un 9 mēnešos nesasniedz 90% no plānotā </w:t>
      </w:r>
      <w:r w:rsidR="000F2F2F" w:rsidRPr="0042498C">
        <w:rPr>
          <w:rFonts w:ascii="Times New Roman" w:hAnsi="Times New Roman"/>
          <w:sz w:val="24"/>
          <w:szCs w:val="24"/>
        </w:rPr>
        <w:t xml:space="preserve">un </w:t>
      </w:r>
      <w:r w:rsidR="002E6958" w:rsidRPr="0042498C">
        <w:rPr>
          <w:rFonts w:ascii="Times New Roman" w:hAnsi="Times New Roman"/>
          <w:sz w:val="24"/>
          <w:szCs w:val="24"/>
        </w:rPr>
        <w:t>Finanšu paziņojumā</w:t>
      </w:r>
      <w:r w:rsidR="000F2F2F" w:rsidRPr="0042498C">
        <w:rPr>
          <w:rFonts w:ascii="Times New Roman" w:hAnsi="Times New Roman"/>
          <w:sz w:val="24"/>
          <w:szCs w:val="24"/>
        </w:rPr>
        <w:t xml:space="preserve"> noteiktā </w:t>
      </w:r>
      <w:r w:rsidRPr="0042498C">
        <w:rPr>
          <w:rFonts w:ascii="Times New Roman" w:hAnsi="Times New Roman"/>
          <w:sz w:val="24"/>
          <w:szCs w:val="24"/>
        </w:rPr>
        <w:t>apjoma</w:t>
      </w:r>
      <w:r w:rsidR="00006B6E" w:rsidRPr="0042498C">
        <w:rPr>
          <w:rFonts w:ascii="Times New Roman" w:hAnsi="Times New Roman"/>
          <w:sz w:val="24"/>
          <w:szCs w:val="24"/>
        </w:rPr>
        <w:t>,</w:t>
      </w:r>
      <w:r w:rsidRPr="0042498C">
        <w:rPr>
          <w:rFonts w:ascii="Times New Roman" w:hAnsi="Times New Roman"/>
          <w:sz w:val="24"/>
          <w:szCs w:val="24"/>
        </w:rPr>
        <w:t xml:space="preserve"> un </w:t>
      </w:r>
      <w:r w:rsidR="00A41F48" w:rsidRPr="0042498C">
        <w:rPr>
          <w:rFonts w:ascii="Times New Roman" w:hAnsi="Times New Roman"/>
          <w:sz w:val="24"/>
          <w:szCs w:val="24"/>
        </w:rPr>
        <w:t>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A41F48" w:rsidRPr="0042498C">
        <w:rPr>
          <w:rFonts w:ascii="Times New Roman" w:hAnsi="Times New Roman"/>
          <w:sz w:val="24"/>
          <w:szCs w:val="24"/>
        </w:rPr>
        <w:t xml:space="preserve"> 2.1. – 2.</w:t>
      </w:r>
      <w:r w:rsidR="00421EAC" w:rsidRPr="0042498C">
        <w:rPr>
          <w:rFonts w:ascii="Times New Roman" w:hAnsi="Times New Roman"/>
          <w:sz w:val="24"/>
          <w:szCs w:val="24"/>
        </w:rPr>
        <w:t>8</w:t>
      </w:r>
      <w:r w:rsidR="00A41F48" w:rsidRPr="0042498C">
        <w:rPr>
          <w:rFonts w:ascii="Times New Roman" w:hAnsi="Times New Roman"/>
          <w:sz w:val="24"/>
          <w:szCs w:val="24"/>
        </w:rPr>
        <w:t>. </w:t>
      </w:r>
      <w:r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 xml:space="preserve"> noteikto indikatīvo rādītāju vērtības neatbilst noteiktajām robežvērtībām norādītajos periodos, </w:t>
      </w:r>
      <w:r w:rsidR="005D2BD8" w:rsidRPr="0042498C">
        <w:rPr>
          <w:rFonts w:ascii="Times New Roman" w:hAnsi="Times New Roman"/>
          <w:sz w:val="24"/>
          <w:szCs w:val="24"/>
        </w:rPr>
        <w:t>un IZPILDĪTĀJS nevar pamatot neizpildi šī</w:t>
      </w:r>
      <w:r w:rsidR="002E6958" w:rsidRPr="0042498C">
        <w:rPr>
          <w:rFonts w:ascii="Times New Roman" w:hAnsi="Times New Roman"/>
          <w:sz w:val="24"/>
          <w:szCs w:val="24"/>
        </w:rPr>
        <w:t>s kārtības</w:t>
      </w:r>
      <w:r w:rsidR="005D2BD8" w:rsidRPr="0042498C">
        <w:rPr>
          <w:rFonts w:ascii="Times New Roman" w:hAnsi="Times New Roman"/>
          <w:sz w:val="24"/>
          <w:szCs w:val="24"/>
        </w:rPr>
        <w:t xml:space="preserve"> 3.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="005D2BD8" w:rsidRPr="0042498C">
        <w:rPr>
          <w:rFonts w:ascii="Times New Roman" w:hAnsi="Times New Roman"/>
          <w:sz w:val="24"/>
          <w:szCs w:val="24"/>
        </w:rPr>
        <w:t xml:space="preserve">punktā noteiktajā </w:t>
      </w:r>
      <w:r w:rsidR="002E6958" w:rsidRPr="0042498C">
        <w:rPr>
          <w:rFonts w:ascii="Times New Roman" w:hAnsi="Times New Roman"/>
          <w:sz w:val="24"/>
          <w:szCs w:val="24"/>
        </w:rPr>
        <w:t>veidā</w:t>
      </w:r>
      <w:r w:rsidR="005D2BD8" w:rsidRPr="0042498C">
        <w:rPr>
          <w:rFonts w:ascii="Times New Roman" w:hAnsi="Times New Roman"/>
          <w:sz w:val="24"/>
          <w:szCs w:val="24"/>
        </w:rPr>
        <w:t xml:space="preserve">, </w:t>
      </w:r>
      <w:r w:rsidRPr="0042498C">
        <w:rPr>
          <w:rFonts w:ascii="Times New Roman" w:hAnsi="Times New Roman"/>
          <w:sz w:val="24"/>
          <w:szCs w:val="24"/>
        </w:rPr>
        <w:t xml:space="preserve">DIENESTS kopējo plānoto </w:t>
      </w:r>
      <w:r w:rsidR="00A65B79" w:rsidRPr="0042498C">
        <w:rPr>
          <w:rFonts w:ascii="Times New Roman" w:hAnsi="Times New Roman"/>
          <w:sz w:val="24"/>
          <w:szCs w:val="24"/>
        </w:rPr>
        <w:t xml:space="preserve">finansējuma </w:t>
      </w:r>
      <w:r w:rsidRPr="0042498C">
        <w:rPr>
          <w:rFonts w:ascii="Times New Roman" w:hAnsi="Times New Roman"/>
          <w:sz w:val="24"/>
          <w:szCs w:val="24"/>
        </w:rPr>
        <w:t xml:space="preserve">apmēru, kas noteikts </w:t>
      </w:r>
      <w:r w:rsidR="000A1A14" w:rsidRPr="0042498C">
        <w:rPr>
          <w:rFonts w:ascii="Times New Roman" w:hAnsi="Times New Roman"/>
          <w:sz w:val="24"/>
          <w:szCs w:val="24"/>
        </w:rPr>
        <w:t>f</w:t>
      </w:r>
      <w:r w:rsidR="004A7A10" w:rsidRPr="0042498C">
        <w:rPr>
          <w:rFonts w:ascii="Times New Roman" w:hAnsi="Times New Roman"/>
          <w:sz w:val="24"/>
          <w:szCs w:val="24"/>
        </w:rPr>
        <w:t>inanšu paziņojuma</w:t>
      </w:r>
      <w:r w:rsidR="00C53B49" w:rsidRPr="0042498C">
        <w:rPr>
          <w:rFonts w:ascii="Times New Roman" w:hAnsi="Times New Roman"/>
          <w:sz w:val="24"/>
          <w:szCs w:val="24"/>
        </w:rPr>
        <w:t xml:space="preserve"> 1.1.1. un 1.1.2. apakš</w:t>
      </w:r>
      <w:r w:rsidR="00143B26" w:rsidRPr="0042498C">
        <w:rPr>
          <w:rFonts w:ascii="Times New Roman" w:hAnsi="Times New Roman"/>
          <w:sz w:val="24"/>
          <w:szCs w:val="24"/>
        </w:rPr>
        <w:t>punkt</w:t>
      </w:r>
      <w:r w:rsidR="00F038BC" w:rsidRPr="0042498C">
        <w:rPr>
          <w:rFonts w:ascii="Times New Roman" w:hAnsi="Times New Roman"/>
          <w:sz w:val="24"/>
          <w:szCs w:val="24"/>
        </w:rPr>
        <w:t>ā</w:t>
      </w:r>
      <w:r w:rsidR="00143B26" w:rsidRPr="0042498C">
        <w:rPr>
          <w:rFonts w:ascii="Times New Roman" w:hAnsi="Times New Roman"/>
          <w:sz w:val="24"/>
          <w:szCs w:val="24"/>
        </w:rPr>
        <w:t>, IZPILDĪTĀJAM</w:t>
      </w:r>
      <w:r w:rsidRPr="0042498C">
        <w:rPr>
          <w:rFonts w:ascii="Times New Roman" w:hAnsi="Times New Roman"/>
          <w:sz w:val="24"/>
          <w:szCs w:val="24"/>
        </w:rPr>
        <w:t xml:space="preserve"> ir tiesīgs samazināt, bet ne vairāk k</w:t>
      </w:r>
      <w:r w:rsidR="00143B26" w:rsidRPr="0042498C">
        <w:rPr>
          <w:rFonts w:ascii="Times New Roman" w:hAnsi="Times New Roman"/>
          <w:sz w:val="24"/>
          <w:szCs w:val="24"/>
        </w:rPr>
        <w:t>ā par 2% no IZPILDĪTĀJAM uz</w:t>
      </w:r>
      <w:r w:rsidRPr="0042498C">
        <w:rPr>
          <w:rFonts w:ascii="Times New Roman" w:hAnsi="Times New Roman"/>
          <w:sz w:val="24"/>
          <w:szCs w:val="24"/>
        </w:rPr>
        <w:t xml:space="preserve"> 1.janvāri plānotā maksājuma apmēra, ņemot vērā katram rādītājam tabulas pēdējā kolo</w:t>
      </w:r>
      <w:r w:rsidR="00A41F48" w:rsidRPr="0042498C">
        <w:rPr>
          <w:rFonts w:ascii="Times New Roman" w:hAnsi="Times New Roman"/>
          <w:sz w:val="24"/>
          <w:szCs w:val="24"/>
        </w:rPr>
        <w:t>n</w:t>
      </w:r>
      <w:r w:rsidRPr="0042498C">
        <w:rPr>
          <w:rFonts w:ascii="Times New Roman" w:hAnsi="Times New Roman"/>
          <w:sz w:val="24"/>
          <w:szCs w:val="24"/>
        </w:rPr>
        <w:t xml:space="preserve">nā noteikto </w:t>
      </w:r>
      <w:r w:rsidR="00F035AC" w:rsidRPr="0042498C">
        <w:rPr>
          <w:rFonts w:ascii="Times New Roman" w:hAnsi="Times New Roman"/>
          <w:sz w:val="24"/>
          <w:szCs w:val="24"/>
        </w:rPr>
        <w:t>finansējumu</w:t>
      </w:r>
      <w:r w:rsidRPr="0042498C">
        <w:rPr>
          <w:rFonts w:ascii="Times New Roman" w:hAnsi="Times New Roman"/>
          <w:sz w:val="24"/>
          <w:szCs w:val="24"/>
        </w:rPr>
        <w:t>:</w:t>
      </w:r>
    </w:p>
    <w:p w:rsidR="0042498C" w:rsidRPr="0042498C" w:rsidRDefault="0042498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134"/>
        <w:gridCol w:w="1134"/>
        <w:gridCol w:w="1134"/>
        <w:gridCol w:w="1134"/>
        <w:gridCol w:w="1105"/>
      </w:tblGrid>
      <w:tr w:rsidR="00E22A29" w:rsidRPr="0042498C" w:rsidTr="0042498C">
        <w:trPr>
          <w:trHeight w:val="6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N.p.k.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                                         </w:t>
            </w:r>
          </w:p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Robežvērtība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Indikatīvā rādītāja (IR) vērtēšanas periods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IR ietekme uz finansējumu (svars)</w:t>
            </w:r>
          </w:p>
        </w:tc>
      </w:tr>
      <w:tr w:rsidR="00E22A29" w:rsidRPr="0042498C" w:rsidTr="0042498C">
        <w:trPr>
          <w:trHeight w:val="6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2A29" w:rsidRPr="0042498C" w:rsidRDefault="00E22A29" w:rsidP="004249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202</w:t>
            </w:r>
            <w:r w:rsidR="00C579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4249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.g.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2A29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7C0DCA" w:rsidRPr="0042498C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pirmais pusgads</w:t>
            </w:r>
          </w:p>
        </w:tc>
      </w:tr>
      <w:tr w:rsidR="0042498C" w:rsidRPr="0042498C" w:rsidTr="0042498C">
        <w:trPr>
          <w:trHeight w:val="52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Atlikto plānveida operāciju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7C0DCA" w:rsidRPr="0042498C" w:rsidTr="0042498C">
        <w:trPr>
          <w:trHeight w:val="39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7C0DC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Neplānota rehospitalizācija 72 stundu laikā,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E22A29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&lt;2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CA" w:rsidRPr="0042498C" w:rsidRDefault="007C0DC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42498C" w:rsidRPr="0042498C" w:rsidTr="0042498C">
        <w:trPr>
          <w:trHeight w:val="3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Letalitāte stacionārā,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Pirmais pusgads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0.25 % </w:t>
            </w:r>
          </w:p>
        </w:tc>
      </w:tr>
      <w:tr w:rsidR="00BF4ACE" w:rsidRPr="0042498C" w:rsidTr="0042498C">
        <w:trPr>
          <w:trHeight w:val="58"/>
        </w:trPr>
        <w:tc>
          <w:tcPr>
            <w:tcW w:w="86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CE" w:rsidRPr="0042498C" w:rsidRDefault="00BF4ACE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9 mēneši</w:t>
            </w:r>
          </w:p>
        </w:tc>
      </w:tr>
      <w:tr w:rsidR="0042498C" w:rsidRPr="0042498C" w:rsidTr="0042498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8C" w:rsidRPr="0042498C" w:rsidRDefault="0042498C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Gultu noslodze,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≥75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 mēneši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8C" w:rsidRPr="0042498C" w:rsidRDefault="0042498C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DF64FA" w:rsidRPr="0042498C" w:rsidTr="00A02208">
        <w:trPr>
          <w:trHeight w:val="58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A02208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Vērtēšanas periods 1 gads</w:t>
            </w:r>
          </w:p>
        </w:tc>
      </w:tr>
      <w:tr w:rsidR="00DF64FA" w:rsidRPr="0042498C" w:rsidTr="0042498C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</w:t>
            </w:r>
            <w:r w:rsidR="00F941E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Kopējais pacientu drošības ziņojumu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≥6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&gt;6</w:t>
            </w:r>
            <w:r w:rsidR="00922AB0"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A1677B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4FA" w:rsidRPr="0042498C" w:rsidRDefault="00DF64FA" w:rsidP="004249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0.25 %</w:t>
            </w:r>
          </w:p>
        </w:tc>
      </w:tr>
      <w:tr w:rsidR="00C579E0" w:rsidRPr="0042498C" w:rsidTr="0042498C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579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Nekad gadījumu (never events) īpatsvars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&lt;0.01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</w:p>
        </w:tc>
      </w:tr>
      <w:tr w:rsidR="00C579E0" w:rsidRPr="0042498C" w:rsidTr="00D843ED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C579E0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Vidējais ārstēšanas ilgums stacionārā (dienas)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≤5,2</w:t>
            </w:r>
            <w:r w:rsidRPr="0042498C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 w:eastAsia="lv-LV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≤5,0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C579E0" w:rsidRPr="0042498C" w:rsidTr="00A93BCF">
        <w:trPr>
          <w:trHeight w:val="7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F941EE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Atbilstības apliecinājumi par starptautiski atzīto standartu prasību izpildi (sertifikāti, akreditācijas apliecības, licences)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ISO 9001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ISO 15189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gads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9E0" w:rsidRPr="0042498C" w:rsidRDefault="00C579E0" w:rsidP="00C57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0.25</w:t>
            </w:r>
            <w:r w:rsidR="00DD540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%</w:t>
            </w:r>
            <w:r w:rsidRPr="0042498C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</w:tr>
    </w:tbl>
    <w:p w:rsidR="00641DBD" w:rsidRDefault="00641DBD" w:rsidP="00424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20" w:rsidRDefault="00700D20" w:rsidP="004249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0D20" w:rsidRPr="007F2527" w:rsidRDefault="00700D20" w:rsidP="0042498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 xml:space="preserve">DIENESTS pirms </w:t>
      </w:r>
      <w:r w:rsidR="008A6929" w:rsidRPr="0042498C">
        <w:rPr>
          <w:rFonts w:ascii="Times New Roman" w:hAnsi="Times New Roman"/>
          <w:sz w:val="24"/>
          <w:szCs w:val="24"/>
        </w:rPr>
        <w:t>finanšu līdzekļu samazinājuma, ja indikatīvo rādītāju vērtība neatbilst norād</w:t>
      </w:r>
      <w:r w:rsidR="001B7115" w:rsidRPr="0042498C">
        <w:rPr>
          <w:rFonts w:ascii="Times New Roman" w:hAnsi="Times New Roman"/>
          <w:sz w:val="24"/>
          <w:szCs w:val="24"/>
        </w:rPr>
        <w:t>īta</w:t>
      </w:r>
      <w:r w:rsidR="008A6929" w:rsidRPr="0042498C">
        <w:rPr>
          <w:rFonts w:ascii="Times New Roman" w:hAnsi="Times New Roman"/>
          <w:sz w:val="24"/>
          <w:szCs w:val="24"/>
        </w:rPr>
        <w:t>jām robežvērtībām</w:t>
      </w:r>
      <w:r w:rsidR="00CA0B90" w:rsidRPr="0042498C">
        <w:rPr>
          <w:rFonts w:ascii="Times New Roman" w:hAnsi="Times New Roman"/>
          <w:sz w:val="24"/>
          <w:szCs w:val="24"/>
        </w:rPr>
        <w:t xml:space="preserve">, pirms </w:t>
      </w:r>
      <w:r w:rsidRPr="0042498C">
        <w:rPr>
          <w:rFonts w:ascii="Times New Roman" w:hAnsi="Times New Roman"/>
          <w:sz w:val="24"/>
          <w:szCs w:val="24"/>
        </w:rPr>
        <w:t>indikatīvo rādītāju izvērtēšanas ņem vērā IZPILDĪTĀJA paskaidrojumus. Ja, izvērtējot paskaidrojumus, DIENESTS atzīst tos par pamatotiem, finanšu līdzekļu samazinājums var tikt nepiemērots vai piemērots daļēji.</w:t>
      </w:r>
    </w:p>
    <w:p w:rsidR="00641DBD" w:rsidRPr="0042498C" w:rsidRDefault="00641DBD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41DBD" w:rsidRPr="0042498C" w:rsidRDefault="00641DBD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Indikatīvos rādītājus, kas nav pieejami DIENESTA Vadības informācijas sistēm</w:t>
      </w:r>
      <w:r w:rsidR="00CB0C6A" w:rsidRPr="0042498C">
        <w:rPr>
          <w:rFonts w:ascii="Times New Roman" w:hAnsi="Times New Roman"/>
          <w:sz w:val="24"/>
          <w:szCs w:val="24"/>
        </w:rPr>
        <w:t>ā</w:t>
      </w:r>
      <w:r w:rsidRPr="0042498C">
        <w:rPr>
          <w:rFonts w:ascii="Times New Roman" w:hAnsi="Times New Roman"/>
          <w:sz w:val="24"/>
          <w:szCs w:val="24"/>
        </w:rPr>
        <w:t>, IZPILDĪTĀJA</w:t>
      </w:r>
      <w:r w:rsidR="00143B26" w:rsidRPr="0042498C">
        <w:rPr>
          <w:rFonts w:ascii="Times New Roman" w:hAnsi="Times New Roman"/>
          <w:sz w:val="24"/>
          <w:szCs w:val="24"/>
        </w:rPr>
        <w:t xml:space="preserve">M jāiesniedz DIENESTAM līdz </w:t>
      </w:r>
      <w:r w:rsidRPr="0042498C">
        <w:rPr>
          <w:rFonts w:ascii="Times New Roman" w:hAnsi="Times New Roman"/>
          <w:sz w:val="24"/>
          <w:szCs w:val="24"/>
        </w:rPr>
        <w:t>1.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 xml:space="preserve">augustam par pirmo pusgadu, </w:t>
      </w:r>
      <w:r w:rsidR="00143B26" w:rsidRPr="0042498C">
        <w:rPr>
          <w:rFonts w:ascii="Times New Roman" w:hAnsi="Times New Roman"/>
          <w:sz w:val="24"/>
          <w:szCs w:val="24"/>
        </w:rPr>
        <w:t xml:space="preserve">līdz </w:t>
      </w:r>
      <w:r w:rsidR="009B7F4A">
        <w:rPr>
          <w:rFonts w:ascii="Times New Roman" w:hAnsi="Times New Roman"/>
          <w:sz w:val="24"/>
          <w:szCs w:val="24"/>
        </w:rPr>
        <w:br/>
      </w:r>
      <w:r w:rsidR="00BD4417" w:rsidRPr="0042498C">
        <w:rPr>
          <w:rFonts w:ascii="Times New Roman" w:hAnsi="Times New Roman"/>
          <w:sz w:val="24"/>
          <w:szCs w:val="24"/>
        </w:rPr>
        <w:t>2</w:t>
      </w:r>
      <w:r w:rsidR="00631E07" w:rsidRPr="0042498C">
        <w:rPr>
          <w:rFonts w:ascii="Times New Roman" w:hAnsi="Times New Roman"/>
          <w:sz w:val="24"/>
          <w:szCs w:val="24"/>
        </w:rPr>
        <w:t>0</w:t>
      </w:r>
      <w:r w:rsidRPr="0042498C">
        <w:rPr>
          <w:rFonts w:ascii="Times New Roman" w:hAnsi="Times New Roman"/>
          <w:sz w:val="24"/>
          <w:szCs w:val="24"/>
        </w:rPr>
        <w:t>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>okto</w:t>
      </w:r>
      <w:r w:rsidR="00143B26" w:rsidRPr="0042498C">
        <w:rPr>
          <w:rFonts w:ascii="Times New Roman" w:hAnsi="Times New Roman"/>
          <w:sz w:val="24"/>
          <w:szCs w:val="24"/>
        </w:rPr>
        <w:t>brim par 9 mēnešiem un līdz</w:t>
      </w:r>
      <w:r w:rsidRPr="0042498C">
        <w:rPr>
          <w:rFonts w:ascii="Times New Roman" w:hAnsi="Times New Roman"/>
          <w:sz w:val="24"/>
          <w:szCs w:val="24"/>
        </w:rPr>
        <w:t xml:space="preserve"> 10.</w:t>
      </w:r>
      <w:r w:rsidR="009B7F4A">
        <w:rPr>
          <w:rFonts w:ascii="Times New Roman" w:hAnsi="Times New Roman"/>
          <w:sz w:val="24"/>
          <w:szCs w:val="24"/>
        </w:rPr>
        <w:t xml:space="preserve"> </w:t>
      </w:r>
      <w:r w:rsidRPr="0042498C">
        <w:rPr>
          <w:rFonts w:ascii="Times New Roman" w:hAnsi="Times New Roman"/>
          <w:sz w:val="24"/>
          <w:szCs w:val="24"/>
        </w:rPr>
        <w:t>februārim par 12</w:t>
      </w:r>
      <w:r w:rsidR="008A7532" w:rsidRPr="0042498C">
        <w:rPr>
          <w:rFonts w:ascii="Times New Roman" w:hAnsi="Times New Roman"/>
          <w:sz w:val="24"/>
          <w:szCs w:val="24"/>
        </w:rPr>
        <w:t> </w:t>
      </w:r>
      <w:r w:rsidRPr="0042498C">
        <w:rPr>
          <w:rFonts w:ascii="Times New Roman" w:hAnsi="Times New Roman"/>
          <w:sz w:val="24"/>
          <w:szCs w:val="24"/>
        </w:rPr>
        <w:t>mēnešiem</w:t>
      </w:r>
      <w:r w:rsidR="00734630" w:rsidRPr="0042498C">
        <w:rPr>
          <w:rFonts w:ascii="Times New Roman" w:hAnsi="Times New Roman"/>
          <w:sz w:val="24"/>
          <w:szCs w:val="24"/>
        </w:rPr>
        <w:t xml:space="preserve">, nosūtot to DIENESTAM uz </w:t>
      </w:r>
      <w:r w:rsidR="00BC2134" w:rsidRPr="0042498C">
        <w:rPr>
          <w:rFonts w:ascii="Times New Roman" w:hAnsi="Times New Roman"/>
          <w:sz w:val="24"/>
          <w:szCs w:val="24"/>
        </w:rPr>
        <w:t xml:space="preserve">e-pasta adresi </w:t>
      </w:r>
      <w:hyperlink r:id="rId8" w:history="1">
        <w:r w:rsidR="00996582" w:rsidRPr="0042498C">
          <w:rPr>
            <w:rStyle w:val="Hyperlink"/>
            <w:rFonts w:ascii="Times New Roman" w:hAnsi="Times New Roman"/>
            <w:sz w:val="24"/>
            <w:szCs w:val="24"/>
          </w:rPr>
          <w:t>parskati.stac@vmnvd.gov.lv</w:t>
        </w:r>
      </w:hyperlink>
      <w:r w:rsidR="00734630" w:rsidRPr="0042498C">
        <w:rPr>
          <w:rFonts w:ascii="Times New Roman" w:hAnsi="Times New Roman"/>
          <w:sz w:val="24"/>
          <w:szCs w:val="24"/>
        </w:rPr>
        <w:t>.</w:t>
      </w:r>
      <w:r w:rsidR="009851E1" w:rsidRPr="0042498C">
        <w:rPr>
          <w:rFonts w:ascii="Times New Roman" w:hAnsi="Times New Roman"/>
          <w:sz w:val="24"/>
          <w:szCs w:val="24"/>
        </w:rPr>
        <w:t xml:space="preserve"> </w:t>
      </w:r>
      <w:r w:rsidR="00734630" w:rsidRPr="0042498C">
        <w:rPr>
          <w:rFonts w:ascii="Times New Roman" w:hAnsi="Times New Roman"/>
          <w:sz w:val="24"/>
          <w:szCs w:val="24"/>
        </w:rPr>
        <w:t xml:space="preserve"> </w:t>
      </w:r>
    </w:p>
    <w:p w:rsidR="00F75B9C" w:rsidRPr="0042498C" w:rsidRDefault="00F75B9C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E5177" w:rsidRPr="0042498C" w:rsidRDefault="00FE7128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</w:t>
      </w:r>
      <w:r w:rsidR="008E5177" w:rsidRPr="0042498C">
        <w:rPr>
          <w:rFonts w:ascii="Times New Roman" w:hAnsi="Times New Roman"/>
          <w:sz w:val="24"/>
          <w:szCs w:val="24"/>
        </w:rPr>
        <w:t xml:space="preserve">ZPILDĪTĀJS ir tiesīgs mainīt un precizēt </w:t>
      </w:r>
      <w:bookmarkStart w:id="0" w:name="_Hlk83715964"/>
      <w:r w:rsidR="008E5177" w:rsidRPr="0042498C">
        <w:rPr>
          <w:rFonts w:ascii="Times New Roman" w:hAnsi="Times New Roman"/>
          <w:sz w:val="24"/>
          <w:szCs w:val="24"/>
        </w:rPr>
        <w:t>šī</w:t>
      </w:r>
      <w:r w:rsidR="00841B66" w:rsidRPr="0042498C">
        <w:rPr>
          <w:rFonts w:ascii="Times New Roman" w:hAnsi="Times New Roman"/>
          <w:sz w:val="24"/>
          <w:szCs w:val="24"/>
        </w:rPr>
        <w:t>s kārtības</w:t>
      </w:r>
      <w:r w:rsidR="008E5177" w:rsidRPr="0042498C">
        <w:rPr>
          <w:rFonts w:ascii="Times New Roman" w:hAnsi="Times New Roman"/>
          <w:sz w:val="24"/>
          <w:szCs w:val="24"/>
        </w:rPr>
        <w:t xml:space="preserve"> 2.1- 2</w:t>
      </w:r>
      <w:r w:rsidR="009B7F4A">
        <w:rPr>
          <w:rFonts w:ascii="Times New Roman" w:hAnsi="Times New Roman"/>
          <w:sz w:val="24"/>
          <w:szCs w:val="24"/>
        </w:rPr>
        <w:t>.8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8E5177" w:rsidRPr="0042498C">
        <w:rPr>
          <w:rFonts w:ascii="Times New Roman" w:hAnsi="Times New Roman"/>
          <w:sz w:val="24"/>
          <w:szCs w:val="24"/>
        </w:rPr>
        <w:t xml:space="preserve"> punktā minēto </w:t>
      </w:r>
      <w:r w:rsidR="00A31291" w:rsidRPr="0042498C">
        <w:rPr>
          <w:rFonts w:ascii="Times New Roman" w:hAnsi="Times New Roman"/>
          <w:sz w:val="24"/>
          <w:szCs w:val="24"/>
        </w:rPr>
        <w:t xml:space="preserve">indikatīvo </w:t>
      </w:r>
      <w:r w:rsidR="008E5177" w:rsidRPr="0042498C">
        <w:rPr>
          <w:rFonts w:ascii="Times New Roman" w:hAnsi="Times New Roman"/>
          <w:sz w:val="24"/>
          <w:szCs w:val="24"/>
        </w:rPr>
        <w:t>rādītāju aprēķināšanas metodiku</w:t>
      </w:r>
      <w:bookmarkEnd w:id="0"/>
      <w:r w:rsidR="008E5177" w:rsidRPr="0042498C">
        <w:rPr>
          <w:rFonts w:ascii="Times New Roman" w:hAnsi="Times New Roman"/>
          <w:sz w:val="24"/>
          <w:szCs w:val="24"/>
        </w:rPr>
        <w:t>, saskaņojot ar DIENESTU.</w:t>
      </w:r>
    </w:p>
    <w:p w:rsidR="008E5177" w:rsidRPr="0042498C" w:rsidRDefault="008E5177" w:rsidP="004249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5B92" w:rsidRPr="0042498C" w:rsidRDefault="00F109B5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Mainoties</w:t>
      </w:r>
      <w:r w:rsidR="00665FA4" w:rsidRPr="0042498C">
        <w:rPr>
          <w:rFonts w:ascii="Times New Roman" w:hAnsi="Times New Roman"/>
          <w:sz w:val="24"/>
          <w:szCs w:val="24"/>
        </w:rPr>
        <w:t xml:space="preserve"> š</w:t>
      </w:r>
      <w:r w:rsidR="00841B66" w:rsidRPr="0042498C">
        <w:rPr>
          <w:rFonts w:ascii="Times New Roman" w:hAnsi="Times New Roman"/>
          <w:sz w:val="24"/>
          <w:szCs w:val="24"/>
        </w:rPr>
        <w:t>īs kārtības</w:t>
      </w:r>
      <w:r w:rsidR="00665FA4" w:rsidRPr="0042498C">
        <w:rPr>
          <w:rFonts w:ascii="Times New Roman" w:hAnsi="Times New Roman"/>
          <w:sz w:val="24"/>
          <w:szCs w:val="24"/>
        </w:rPr>
        <w:t xml:space="preserve"> 2.1- 2.</w:t>
      </w:r>
      <w:r w:rsidR="009B7F4A">
        <w:rPr>
          <w:rFonts w:ascii="Times New Roman" w:hAnsi="Times New Roman"/>
          <w:sz w:val="24"/>
          <w:szCs w:val="24"/>
        </w:rPr>
        <w:t>8</w:t>
      </w:r>
      <w:r w:rsidR="00114938" w:rsidRPr="0042498C">
        <w:rPr>
          <w:rFonts w:ascii="Times New Roman" w:hAnsi="Times New Roman"/>
          <w:sz w:val="24"/>
          <w:szCs w:val="24"/>
        </w:rPr>
        <w:t>.</w:t>
      </w:r>
      <w:r w:rsidR="00665FA4" w:rsidRPr="0042498C">
        <w:rPr>
          <w:rFonts w:ascii="Times New Roman" w:hAnsi="Times New Roman"/>
          <w:sz w:val="24"/>
          <w:szCs w:val="24"/>
        </w:rPr>
        <w:t xml:space="preserve"> punktā minētajiem</w:t>
      </w:r>
      <w:r w:rsidR="00A31291" w:rsidRPr="0042498C">
        <w:rPr>
          <w:rFonts w:ascii="Times New Roman" w:hAnsi="Times New Roman"/>
          <w:sz w:val="24"/>
          <w:szCs w:val="24"/>
        </w:rPr>
        <w:t xml:space="preserve"> indikatīvajiem</w:t>
      </w:r>
      <w:r w:rsidR="00665FA4" w:rsidRPr="0042498C">
        <w:rPr>
          <w:rFonts w:ascii="Times New Roman" w:hAnsi="Times New Roman"/>
          <w:sz w:val="24"/>
          <w:szCs w:val="24"/>
        </w:rPr>
        <w:t xml:space="preserve"> rādītājiem</w:t>
      </w:r>
      <w:r w:rsidR="007E3B2E" w:rsidRPr="0042498C">
        <w:rPr>
          <w:rFonts w:ascii="Times New Roman" w:hAnsi="Times New Roman"/>
          <w:sz w:val="24"/>
          <w:szCs w:val="24"/>
        </w:rPr>
        <w:t>, to rezultatīvajiem rādītājiem</w:t>
      </w:r>
      <w:r w:rsidR="00665FA4" w:rsidRPr="0042498C">
        <w:rPr>
          <w:rFonts w:ascii="Times New Roman" w:hAnsi="Times New Roman"/>
          <w:sz w:val="24"/>
          <w:szCs w:val="24"/>
        </w:rPr>
        <w:t xml:space="preserve"> vai to aprēķināšanas metodikai, </w:t>
      </w:r>
      <w:r w:rsidR="0073250E" w:rsidRPr="0042498C">
        <w:rPr>
          <w:rFonts w:ascii="Times New Roman" w:hAnsi="Times New Roman"/>
          <w:sz w:val="24"/>
          <w:szCs w:val="24"/>
        </w:rPr>
        <w:t xml:space="preserve">IZPILDĪTĀJS nekavējoties veic izmaiņas </w:t>
      </w:r>
      <w:r w:rsidR="00A31291" w:rsidRPr="0042498C">
        <w:rPr>
          <w:rFonts w:ascii="Times New Roman" w:hAnsi="Times New Roman"/>
          <w:sz w:val="24"/>
          <w:szCs w:val="24"/>
        </w:rPr>
        <w:t xml:space="preserve">“Indikatoru </w:t>
      </w:r>
      <w:r w:rsidR="00665FA4" w:rsidRPr="0042498C">
        <w:rPr>
          <w:rFonts w:ascii="Times New Roman" w:hAnsi="Times New Roman"/>
          <w:sz w:val="24"/>
          <w:szCs w:val="24"/>
        </w:rPr>
        <w:t>pasēs</w:t>
      </w:r>
      <w:r w:rsidR="00A31291" w:rsidRPr="0042498C">
        <w:rPr>
          <w:rFonts w:ascii="Times New Roman" w:hAnsi="Times New Roman"/>
          <w:sz w:val="24"/>
          <w:szCs w:val="24"/>
        </w:rPr>
        <w:t>”</w:t>
      </w:r>
      <w:r w:rsidR="0073250E" w:rsidRPr="0042498C">
        <w:rPr>
          <w:rFonts w:ascii="Times New Roman" w:hAnsi="Times New Roman"/>
          <w:sz w:val="24"/>
          <w:szCs w:val="24"/>
        </w:rPr>
        <w:t xml:space="preserve"> un 10 </w:t>
      </w:r>
      <w:r w:rsidR="00114938" w:rsidRPr="0042498C">
        <w:rPr>
          <w:rFonts w:ascii="Times New Roman" w:hAnsi="Times New Roman"/>
          <w:sz w:val="24"/>
          <w:szCs w:val="24"/>
        </w:rPr>
        <w:t xml:space="preserve">(desmit) </w:t>
      </w:r>
      <w:r w:rsidR="0073250E" w:rsidRPr="0042498C">
        <w:rPr>
          <w:rFonts w:ascii="Times New Roman" w:hAnsi="Times New Roman"/>
          <w:sz w:val="24"/>
          <w:szCs w:val="24"/>
        </w:rPr>
        <w:t xml:space="preserve">dienu laikā </w:t>
      </w:r>
      <w:r w:rsidR="00CD5B92" w:rsidRPr="0042498C">
        <w:rPr>
          <w:rFonts w:ascii="Times New Roman" w:hAnsi="Times New Roman"/>
          <w:sz w:val="24"/>
          <w:szCs w:val="24"/>
        </w:rPr>
        <w:t xml:space="preserve">no izmaiņu veikšanas dienas </w:t>
      </w:r>
      <w:r w:rsidR="0073250E" w:rsidRPr="0042498C">
        <w:rPr>
          <w:rFonts w:ascii="Times New Roman" w:hAnsi="Times New Roman"/>
          <w:sz w:val="24"/>
          <w:szCs w:val="24"/>
        </w:rPr>
        <w:t>iesniedz DIENESTAM saskaņošanai.</w:t>
      </w:r>
      <w:r w:rsidR="00BE5054" w:rsidRPr="0042498C">
        <w:rPr>
          <w:rFonts w:ascii="Times New Roman" w:hAnsi="Times New Roman"/>
          <w:sz w:val="24"/>
          <w:szCs w:val="24"/>
        </w:rPr>
        <w:t xml:space="preserve"> </w:t>
      </w:r>
    </w:p>
    <w:p w:rsidR="00F363CB" w:rsidRPr="0042498C" w:rsidRDefault="00F363CB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363CB" w:rsidRPr="0042498C" w:rsidRDefault="00F363CB" w:rsidP="0042498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498C">
        <w:rPr>
          <w:rFonts w:ascii="Times New Roman" w:hAnsi="Times New Roman"/>
          <w:sz w:val="24"/>
          <w:szCs w:val="24"/>
        </w:rPr>
        <w:t>IZPILDĪTĀJS ir tiesīgs mainīt indikatīvos rādītājus un precizēt minēto indikatīvo rādītāju robežvērtības ne biežāk kā reizi kalendārā gada laikā, saskaņojot ar DIENESTU.</w:t>
      </w:r>
    </w:p>
    <w:p w:rsidR="00CD5B92" w:rsidRPr="0042498C" w:rsidRDefault="00CD5B92" w:rsidP="0042498C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8011D" w:rsidRPr="0042498C" w:rsidRDefault="0018011D" w:rsidP="0042498C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8011D" w:rsidRPr="0042498C" w:rsidSect="00477AFF">
      <w:headerReference w:type="default" r:id="rId9"/>
      <w:pgSz w:w="11906" w:h="16838"/>
      <w:pgMar w:top="1134" w:right="1588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4F6C" w:rsidRDefault="00444F6C" w:rsidP="007A26C5">
      <w:pPr>
        <w:spacing w:after="0" w:line="240" w:lineRule="auto"/>
      </w:pPr>
      <w:r>
        <w:separator/>
      </w:r>
    </w:p>
  </w:endnote>
  <w:endnote w:type="continuationSeparator" w:id="0">
    <w:p w:rsidR="00444F6C" w:rsidRDefault="00444F6C" w:rsidP="007A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4F6C" w:rsidRDefault="00444F6C" w:rsidP="007A26C5">
      <w:pPr>
        <w:spacing w:after="0" w:line="240" w:lineRule="auto"/>
      </w:pPr>
      <w:r>
        <w:separator/>
      </w:r>
    </w:p>
  </w:footnote>
  <w:footnote w:type="continuationSeparator" w:id="0">
    <w:p w:rsidR="00444F6C" w:rsidRDefault="00444F6C" w:rsidP="007A26C5">
      <w:pPr>
        <w:spacing w:after="0" w:line="240" w:lineRule="auto"/>
      </w:pPr>
      <w:r>
        <w:continuationSeparator/>
      </w:r>
    </w:p>
  </w:footnote>
  <w:footnote w:id="1">
    <w:p w:rsidR="00C579E0" w:rsidRPr="00960BBC" w:rsidRDefault="00C579E0" w:rsidP="00960BB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0EDA" w:rsidRPr="00205A36" w:rsidRDefault="00E80EDA" w:rsidP="00E80EDA">
    <w:pPr>
      <w:pStyle w:val="Header"/>
      <w:jc w:val="right"/>
      <w:rPr>
        <w:rFonts w:ascii="Times New Roman" w:hAnsi="Times New Roman"/>
      </w:rPr>
    </w:pPr>
    <w:r w:rsidRPr="00205A36">
      <w:rPr>
        <w:rFonts w:ascii="Times New Roman" w:hAnsi="Times New Roman"/>
        <w:i/>
        <w:iCs/>
      </w:rPr>
      <w:t>spēkā no 202</w:t>
    </w:r>
    <w:r w:rsidR="00F941EE">
      <w:rPr>
        <w:rFonts w:ascii="Times New Roman" w:hAnsi="Times New Roman"/>
        <w:i/>
        <w:iCs/>
      </w:rPr>
      <w:t>6</w:t>
    </w:r>
    <w:r w:rsidRPr="00205A36">
      <w:rPr>
        <w:rFonts w:ascii="Times New Roman" w:hAnsi="Times New Roman"/>
        <w:i/>
        <w:iCs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5859"/>
    <w:multiLevelType w:val="multilevel"/>
    <w:tmpl w:val="BC92B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B71859"/>
    <w:multiLevelType w:val="hybridMultilevel"/>
    <w:tmpl w:val="D74287E2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2060">
    <w:abstractNumId w:val="0"/>
  </w:num>
  <w:num w:numId="2" w16cid:durableId="141466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BD"/>
    <w:rsid w:val="000018A7"/>
    <w:rsid w:val="000041C7"/>
    <w:rsid w:val="00006B6E"/>
    <w:rsid w:val="00014803"/>
    <w:rsid w:val="00023890"/>
    <w:rsid w:val="00051358"/>
    <w:rsid w:val="0005188A"/>
    <w:rsid w:val="000619E0"/>
    <w:rsid w:val="00062580"/>
    <w:rsid w:val="00063CF9"/>
    <w:rsid w:val="00066714"/>
    <w:rsid w:val="000675E9"/>
    <w:rsid w:val="00072A24"/>
    <w:rsid w:val="00077267"/>
    <w:rsid w:val="00082159"/>
    <w:rsid w:val="00087BE6"/>
    <w:rsid w:val="00090409"/>
    <w:rsid w:val="000A1250"/>
    <w:rsid w:val="000A1A14"/>
    <w:rsid w:val="000A3F68"/>
    <w:rsid w:val="000B05A7"/>
    <w:rsid w:val="000C78E0"/>
    <w:rsid w:val="000E1064"/>
    <w:rsid w:val="000E48AF"/>
    <w:rsid w:val="000F2B08"/>
    <w:rsid w:val="000F2F2F"/>
    <w:rsid w:val="0010778D"/>
    <w:rsid w:val="00111AB8"/>
    <w:rsid w:val="00114938"/>
    <w:rsid w:val="001256F7"/>
    <w:rsid w:val="00127021"/>
    <w:rsid w:val="001324A7"/>
    <w:rsid w:val="00136AEF"/>
    <w:rsid w:val="001423BE"/>
    <w:rsid w:val="00143B26"/>
    <w:rsid w:val="0014712C"/>
    <w:rsid w:val="00166FB6"/>
    <w:rsid w:val="00172216"/>
    <w:rsid w:val="0018011D"/>
    <w:rsid w:val="0019240B"/>
    <w:rsid w:val="001A1F51"/>
    <w:rsid w:val="001A701B"/>
    <w:rsid w:val="001B3842"/>
    <w:rsid w:val="001B5C13"/>
    <w:rsid w:val="001B7115"/>
    <w:rsid w:val="001C1466"/>
    <w:rsid w:val="001C2FCE"/>
    <w:rsid w:val="001C548D"/>
    <w:rsid w:val="001C7C30"/>
    <w:rsid w:val="001F1002"/>
    <w:rsid w:val="001F2A79"/>
    <w:rsid w:val="00201938"/>
    <w:rsid w:val="00222F3E"/>
    <w:rsid w:val="00234E85"/>
    <w:rsid w:val="00242AB4"/>
    <w:rsid w:val="00247A76"/>
    <w:rsid w:val="002533E1"/>
    <w:rsid w:val="00257C08"/>
    <w:rsid w:val="002610A0"/>
    <w:rsid w:val="002615B9"/>
    <w:rsid w:val="00262472"/>
    <w:rsid w:val="00276D1B"/>
    <w:rsid w:val="00284086"/>
    <w:rsid w:val="00287976"/>
    <w:rsid w:val="002A2A8D"/>
    <w:rsid w:val="002A451D"/>
    <w:rsid w:val="002B3CD0"/>
    <w:rsid w:val="002D4B0F"/>
    <w:rsid w:val="002E30A2"/>
    <w:rsid w:val="002E6958"/>
    <w:rsid w:val="00312EB5"/>
    <w:rsid w:val="00313669"/>
    <w:rsid w:val="003316A7"/>
    <w:rsid w:val="0033228D"/>
    <w:rsid w:val="0033622B"/>
    <w:rsid w:val="003453AB"/>
    <w:rsid w:val="00353A4F"/>
    <w:rsid w:val="003559DF"/>
    <w:rsid w:val="00356859"/>
    <w:rsid w:val="00360C02"/>
    <w:rsid w:val="0036529A"/>
    <w:rsid w:val="003738BA"/>
    <w:rsid w:val="00381FD1"/>
    <w:rsid w:val="003975F8"/>
    <w:rsid w:val="003A45A7"/>
    <w:rsid w:val="003A45FA"/>
    <w:rsid w:val="003D1ABA"/>
    <w:rsid w:val="003D4D11"/>
    <w:rsid w:val="003D6586"/>
    <w:rsid w:val="003E022B"/>
    <w:rsid w:val="003F370B"/>
    <w:rsid w:val="00421EAC"/>
    <w:rsid w:val="004223DC"/>
    <w:rsid w:val="004245FE"/>
    <w:rsid w:val="0042498C"/>
    <w:rsid w:val="004253D1"/>
    <w:rsid w:val="004255C1"/>
    <w:rsid w:val="00444F6C"/>
    <w:rsid w:val="00473AE6"/>
    <w:rsid w:val="00477AFF"/>
    <w:rsid w:val="00482494"/>
    <w:rsid w:val="00495FE1"/>
    <w:rsid w:val="0049744B"/>
    <w:rsid w:val="004A7A10"/>
    <w:rsid w:val="004B2FA0"/>
    <w:rsid w:val="004B36E2"/>
    <w:rsid w:val="004B62A6"/>
    <w:rsid w:val="004D264A"/>
    <w:rsid w:val="004D524B"/>
    <w:rsid w:val="00513DE5"/>
    <w:rsid w:val="00515B48"/>
    <w:rsid w:val="00532C92"/>
    <w:rsid w:val="00540593"/>
    <w:rsid w:val="005475C0"/>
    <w:rsid w:val="005512F6"/>
    <w:rsid w:val="0057308E"/>
    <w:rsid w:val="00592463"/>
    <w:rsid w:val="00593D46"/>
    <w:rsid w:val="005A3C70"/>
    <w:rsid w:val="005A4F01"/>
    <w:rsid w:val="005B0C42"/>
    <w:rsid w:val="005B1999"/>
    <w:rsid w:val="005B53AA"/>
    <w:rsid w:val="005D2BD8"/>
    <w:rsid w:val="005D3199"/>
    <w:rsid w:val="005E54AC"/>
    <w:rsid w:val="005E7C2F"/>
    <w:rsid w:val="005F275B"/>
    <w:rsid w:val="0060049E"/>
    <w:rsid w:val="00627298"/>
    <w:rsid w:val="00631E07"/>
    <w:rsid w:val="00641DBD"/>
    <w:rsid w:val="00642C5E"/>
    <w:rsid w:val="006526E1"/>
    <w:rsid w:val="00665FA4"/>
    <w:rsid w:val="0066735B"/>
    <w:rsid w:val="00672BB8"/>
    <w:rsid w:val="00683CF1"/>
    <w:rsid w:val="006B22B8"/>
    <w:rsid w:val="006B425B"/>
    <w:rsid w:val="006B5670"/>
    <w:rsid w:val="006C0460"/>
    <w:rsid w:val="006D20B0"/>
    <w:rsid w:val="006E30FA"/>
    <w:rsid w:val="006E4627"/>
    <w:rsid w:val="00700D20"/>
    <w:rsid w:val="007063BB"/>
    <w:rsid w:val="0071250B"/>
    <w:rsid w:val="007157CD"/>
    <w:rsid w:val="00721E7A"/>
    <w:rsid w:val="007237D8"/>
    <w:rsid w:val="0073250E"/>
    <w:rsid w:val="00734630"/>
    <w:rsid w:val="00741A6E"/>
    <w:rsid w:val="00790726"/>
    <w:rsid w:val="007A26C5"/>
    <w:rsid w:val="007A7CAE"/>
    <w:rsid w:val="007C0DCA"/>
    <w:rsid w:val="007D21CB"/>
    <w:rsid w:val="007D382F"/>
    <w:rsid w:val="007E3B2E"/>
    <w:rsid w:val="007E7352"/>
    <w:rsid w:val="007F2527"/>
    <w:rsid w:val="007F2DC4"/>
    <w:rsid w:val="0080573F"/>
    <w:rsid w:val="00807CE5"/>
    <w:rsid w:val="00810819"/>
    <w:rsid w:val="008113B1"/>
    <w:rsid w:val="008226E9"/>
    <w:rsid w:val="00822F23"/>
    <w:rsid w:val="00841B66"/>
    <w:rsid w:val="008465E3"/>
    <w:rsid w:val="008506B2"/>
    <w:rsid w:val="008536FB"/>
    <w:rsid w:val="00855E7B"/>
    <w:rsid w:val="00866886"/>
    <w:rsid w:val="00872702"/>
    <w:rsid w:val="00874D67"/>
    <w:rsid w:val="00881ED4"/>
    <w:rsid w:val="00882712"/>
    <w:rsid w:val="00885211"/>
    <w:rsid w:val="00895427"/>
    <w:rsid w:val="00895E45"/>
    <w:rsid w:val="008A6929"/>
    <w:rsid w:val="008A6D39"/>
    <w:rsid w:val="008A70B9"/>
    <w:rsid w:val="008A7532"/>
    <w:rsid w:val="008B0D1D"/>
    <w:rsid w:val="008B486C"/>
    <w:rsid w:val="008C5AD7"/>
    <w:rsid w:val="008C63BD"/>
    <w:rsid w:val="008C65B4"/>
    <w:rsid w:val="008D46E7"/>
    <w:rsid w:val="008E2604"/>
    <w:rsid w:val="008E5177"/>
    <w:rsid w:val="008E6ED8"/>
    <w:rsid w:val="008F6983"/>
    <w:rsid w:val="00902998"/>
    <w:rsid w:val="00907875"/>
    <w:rsid w:val="0091077C"/>
    <w:rsid w:val="009211BA"/>
    <w:rsid w:val="00922AB0"/>
    <w:rsid w:val="0092401F"/>
    <w:rsid w:val="00933053"/>
    <w:rsid w:val="00943AF8"/>
    <w:rsid w:val="00960BBC"/>
    <w:rsid w:val="00963CA5"/>
    <w:rsid w:val="00964AD1"/>
    <w:rsid w:val="0097141B"/>
    <w:rsid w:val="00976A08"/>
    <w:rsid w:val="00977B2C"/>
    <w:rsid w:val="00984E50"/>
    <w:rsid w:val="009851E1"/>
    <w:rsid w:val="00987E7D"/>
    <w:rsid w:val="00996582"/>
    <w:rsid w:val="009B00FA"/>
    <w:rsid w:val="009B4BB5"/>
    <w:rsid w:val="009B7F4A"/>
    <w:rsid w:val="009D4F57"/>
    <w:rsid w:val="009E34F6"/>
    <w:rsid w:val="009E37E6"/>
    <w:rsid w:val="009F0DC3"/>
    <w:rsid w:val="009F6242"/>
    <w:rsid w:val="009F65D7"/>
    <w:rsid w:val="00A02208"/>
    <w:rsid w:val="00A1216F"/>
    <w:rsid w:val="00A15728"/>
    <w:rsid w:val="00A1677B"/>
    <w:rsid w:val="00A31291"/>
    <w:rsid w:val="00A41F48"/>
    <w:rsid w:val="00A46060"/>
    <w:rsid w:val="00A645D8"/>
    <w:rsid w:val="00A65B79"/>
    <w:rsid w:val="00AB65F0"/>
    <w:rsid w:val="00AD2E57"/>
    <w:rsid w:val="00AE17ED"/>
    <w:rsid w:val="00AE68A4"/>
    <w:rsid w:val="00AF24B6"/>
    <w:rsid w:val="00AF6BFC"/>
    <w:rsid w:val="00B01406"/>
    <w:rsid w:val="00B0489A"/>
    <w:rsid w:val="00B050F8"/>
    <w:rsid w:val="00B12AB3"/>
    <w:rsid w:val="00B26FB3"/>
    <w:rsid w:val="00B307AB"/>
    <w:rsid w:val="00B53F48"/>
    <w:rsid w:val="00B61372"/>
    <w:rsid w:val="00B6194C"/>
    <w:rsid w:val="00B662A8"/>
    <w:rsid w:val="00B67D47"/>
    <w:rsid w:val="00B714CC"/>
    <w:rsid w:val="00B86067"/>
    <w:rsid w:val="00BC2134"/>
    <w:rsid w:val="00BD341E"/>
    <w:rsid w:val="00BD4417"/>
    <w:rsid w:val="00BD52D8"/>
    <w:rsid w:val="00BE4E9F"/>
    <w:rsid w:val="00BE5054"/>
    <w:rsid w:val="00BF4ACE"/>
    <w:rsid w:val="00C01A29"/>
    <w:rsid w:val="00C058DA"/>
    <w:rsid w:val="00C26054"/>
    <w:rsid w:val="00C36B30"/>
    <w:rsid w:val="00C50404"/>
    <w:rsid w:val="00C53B49"/>
    <w:rsid w:val="00C579E0"/>
    <w:rsid w:val="00C612B2"/>
    <w:rsid w:val="00C719C9"/>
    <w:rsid w:val="00C81513"/>
    <w:rsid w:val="00C842DF"/>
    <w:rsid w:val="00C87EC3"/>
    <w:rsid w:val="00C910BE"/>
    <w:rsid w:val="00C9474F"/>
    <w:rsid w:val="00CA0B90"/>
    <w:rsid w:val="00CA7729"/>
    <w:rsid w:val="00CA7856"/>
    <w:rsid w:val="00CB0C6A"/>
    <w:rsid w:val="00CB682C"/>
    <w:rsid w:val="00CD5B92"/>
    <w:rsid w:val="00CE59A3"/>
    <w:rsid w:val="00CE7189"/>
    <w:rsid w:val="00CF3140"/>
    <w:rsid w:val="00CF6B45"/>
    <w:rsid w:val="00D0436F"/>
    <w:rsid w:val="00D10015"/>
    <w:rsid w:val="00D100DB"/>
    <w:rsid w:val="00D13C4B"/>
    <w:rsid w:val="00D177BD"/>
    <w:rsid w:val="00D24316"/>
    <w:rsid w:val="00D350A6"/>
    <w:rsid w:val="00D35B81"/>
    <w:rsid w:val="00D60E16"/>
    <w:rsid w:val="00D77617"/>
    <w:rsid w:val="00D96212"/>
    <w:rsid w:val="00DB3707"/>
    <w:rsid w:val="00DB6511"/>
    <w:rsid w:val="00DD192D"/>
    <w:rsid w:val="00DD3626"/>
    <w:rsid w:val="00DD5406"/>
    <w:rsid w:val="00DE0117"/>
    <w:rsid w:val="00DE385E"/>
    <w:rsid w:val="00DE4862"/>
    <w:rsid w:val="00DF1BA7"/>
    <w:rsid w:val="00DF254E"/>
    <w:rsid w:val="00DF4401"/>
    <w:rsid w:val="00DF64FA"/>
    <w:rsid w:val="00E04E3B"/>
    <w:rsid w:val="00E05A57"/>
    <w:rsid w:val="00E22A29"/>
    <w:rsid w:val="00E24124"/>
    <w:rsid w:val="00E35B61"/>
    <w:rsid w:val="00E37E54"/>
    <w:rsid w:val="00E5062B"/>
    <w:rsid w:val="00E509A2"/>
    <w:rsid w:val="00E737DA"/>
    <w:rsid w:val="00E80E18"/>
    <w:rsid w:val="00E80EDA"/>
    <w:rsid w:val="00E82F79"/>
    <w:rsid w:val="00EA47D8"/>
    <w:rsid w:val="00EA4E9B"/>
    <w:rsid w:val="00EA6559"/>
    <w:rsid w:val="00EA766E"/>
    <w:rsid w:val="00EB423D"/>
    <w:rsid w:val="00EB5D9E"/>
    <w:rsid w:val="00EB6FEF"/>
    <w:rsid w:val="00EC1871"/>
    <w:rsid w:val="00ED026B"/>
    <w:rsid w:val="00ED1273"/>
    <w:rsid w:val="00ED4018"/>
    <w:rsid w:val="00EE463F"/>
    <w:rsid w:val="00F0150D"/>
    <w:rsid w:val="00F035AC"/>
    <w:rsid w:val="00F038BC"/>
    <w:rsid w:val="00F109B5"/>
    <w:rsid w:val="00F11C4B"/>
    <w:rsid w:val="00F17032"/>
    <w:rsid w:val="00F229BA"/>
    <w:rsid w:val="00F27295"/>
    <w:rsid w:val="00F31445"/>
    <w:rsid w:val="00F363CB"/>
    <w:rsid w:val="00F413EF"/>
    <w:rsid w:val="00F479BC"/>
    <w:rsid w:val="00F47A5E"/>
    <w:rsid w:val="00F556A2"/>
    <w:rsid w:val="00F60215"/>
    <w:rsid w:val="00F62060"/>
    <w:rsid w:val="00F621FB"/>
    <w:rsid w:val="00F67474"/>
    <w:rsid w:val="00F7049E"/>
    <w:rsid w:val="00F75B9C"/>
    <w:rsid w:val="00F91F56"/>
    <w:rsid w:val="00F941EE"/>
    <w:rsid w:val="00FA6C6F"/>
    <w:rsid w:val="00FD229C"/>
    <w:rsid w:val="00FD6CDC"/>
    <w:rsid w:val="00FE7128"/>
    <w:rsid w:val="00FF09EA"/>
    <w:rsid w:val="00FF409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70B34D"/>
  <w15:chartTrackingRefBased/>
  <w15:docId w15:val="{454B7DAE-73AB-4230-949F-CEDA5E23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B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D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E385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6C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A26C5"/>
    <w:rPr>
      <w:lang w:eastAsia="en-US"/>
    </w:rPr>
  </w:style>
  <w:style w:type="character" w:styleId="FootnoteReference">
    <w:name w:val="footnote reference"/>
    <w:uiPriority w:val="99"/>
    <w:semiHidden/>
    <w:unhideWhenUsed/>
    <w:rsid w:val="007A26C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513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13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513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3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1358"/>
    <w:rPr>
      <w:b/>
      <w:bCs/>
      <w:lang w:eastAsia="en-US"/>
    </w:rPr>
  </w:style>
  <w:style w:type="paragraph" w:styleId="Revision">
    <w:name w:val="Revision"/>
    <w:hidden/>
    <w:uiPriority w:val="99"/>
    <w:semiHidden/>
    <w:rsid w:val="0073250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3463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346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E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DA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700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skati.stac@vmn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18CF-89D5-4C8A-9965-6F9755E7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3635</CharactersWithSpaces>
  <SharedDoc>false</SharedDoc>
  <HLinks>
    <vt:vector size="6" baseType="variant">
      <vt:variant>
        <vt:i4>4653174</vt:i4>
      </vt:variant>
      <vt:variant>
        <vt:i4>0</vt:i4>
      </vt:variant>
      <vt:variant>
        <vt:i4>0</vt:i4>
      </vt:variant>
      <vt:variant>
        <vt:i4>5</vt:i4>
      </vt:variant>
      <vt:variant>
        <vt:lpwstr>mailto:parskati.stac@vmnvd.gov.lv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Putka</dc:creator>
  <cp:keywords/>
  <dc:description/>
  <cp:lastModifiedBy>Eleonora Taube</cp:lastModifiedBy>
  <cp:revision>1</cp:revision>
  <cp:lastPrinted>2021-02-18T10:29:00Z</cp:lastPrinted>
  <dcterms:created xsi:type="dcterms:W3CDTF">2025-12-23T08:55:00Z</dcterms:created>
  <dcterms:modified xsi:type="dcterms:W3CDTF">2025-12-23T08:55:00Z</dcterms:modified>
</cp:coreProperties>
</file>