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A6B" w:rsidRPr="00D5053F" w:rsidRDefault="00000000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01489C52" wp14:editId="59A1A272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1D326" wp14:editId="7A6E0EAD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BAFCA" id="Group 41" o:spid="_x0000_s1026" style="position:absolute;margin-left:145.7pt;margin-top:150.5pt;width:346.25pt;height:.1pt;z-index:-251658240;mso-position-horizontal-relative:page;mso-position-vertical-relative:page" coordorigin="2915,2998" coordsize="692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&#13;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&#13;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RDefault="00000000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5"/>
        <w:gridCol w:w="3646"/>
      </w:tblGrid>
      <w:tr w:rsidR="00F06814" w:rsidTr="00C5711F">
        <w:trPr>
          <w:trHeight w:val="313"/>
        </w:trPr>
        <w:tc>
          <w:tcPr>
            <w:tcW w:w="5495" w:type="dxa"/>
          </w:tcPr>
          <w:p w:rsidR="00222B8B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1-8.2/2025/2439</w:t>
            </w:r>
          </w:p>
          <w:p w:rsidR="002079F2" w:rsidRPr="00CB220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C2650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Profesionālās ārstu asociācijas</w:t>
            </w:r>
          </w:p>
          <w:p w:rsidR="004C2650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(pēc pievienotā saraksta)</w:t>
            </w:r>
          </w:p>
          <w:p w:rsidR="004C2650" w:rsidRDefault="004C265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4C2650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Zināšanai:</w:t>
            </w:r>
          </w:p>
          <w:p w:rsidR="004C2650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Republikas Veselības ministrijai</w:t>
            </w:r>
          </w:p>
          <w:p w:rsidR="00222B8B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Nacionālajam veselības dienestam</w:t>
            </w:r>
          </w:p>
          <w:p w:rsidR="002079F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</w:tr>
    </w:tbl>
    <w:p w:rsidR="002079F2" w:rsidRPr="00195A3A" w:rsidRDefault="00000000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valsts apmaksātu vakcināciju pret cilvēka papilomas vīrusa infekciju 2026. gadā</w:t>
      </w:r>
    </w:p>
    <w:p w:rsidR="007A24AA" w:rsidRPr="00191AFF" w:rsidRDefault="00000000" w:rsidP="007A24AA">
      <w:pPr>
        <w:tabs>
          <w:tab w:val="left" w:pos="1134"/>
        </w:tabs>
        <w:ind w:firstLine="720"/>
        <w:contextualSpacing/>
        <w:jc w:val="both"/>
      </w:pPr>
      <w:r w:rsidRPr="68FBEB28">
        <w:rPr>
          <w:noProof/>
          <w:sz w:val="24"/>
          <w:szCs w:val="24"/>
          <w:lang w:eastAsia="lv-LV"/>
        </w:rPr>
        <w:t>Sask</w:t>
      </w:r>
      <w:r>
        <w:rPr>
          <w:noProof/>
          <w:sz w:val="24"/>
          <w:szCs w:val="24"/>
          <w:lang w:eastAsia="lv-LV"/>
        </w:rPr>
        <w:t>aņ</w:t>
      </w:r>
      <w:r w:rsidRPr="68FBEB28">
        <w:rPr>
          <w:noProof/>
          <w:sz w:val="24"/>
          <w:szCs w:val="24"/>
          <w:lang w:eastAsia="lv-LV"/>
        </w:rPr>
        <w:t>ā ar Ministru kabineta 2000. gada 26. septembra noteikumos Nr. 330 “Vakcinācijas noteikumi” noteikto</w:t>
      </w:r>
      <w:r>
        <w:rPr>
          <w:rStyle w:val="FootnoteReference"/>
          <w:noProof/>
          <w:sz w:val="24"/>
          <w:szCs w:val="24"/>
          <w:lang w:eastAsia="lv-LV"/>
        </w:rPr>
        <w:footnoteReference w:id="1"/>
      </w:r>
      <w:r w:rsidRPr="68FBEB28">
        <w:rPr>
          <w:noProof/>
          <w:sz w:val="24"/>
          <w:szCs w:val="24"/>
          <w:lang w:eastAsia="lv-LV"/>
        </w:rPr>
        <w:t xml:space="preserve"> Slimību profilakses un kontroles centrs (turpmāk – Centrs) informē, ka, ņemot vērā esošo vakcinācijas tempu pret cilvēka papilomas vīrusa (turpmāk – CPV) infekciju un iepirkuma </w:t>
      </w:r>
      <w:r>
        <w:rPr>
          <w:noProof/>
          <w:sz w:val="24"/>
          <w:szCs w:val="24"/>
          <w:lang w:eastAsia="lv-LV"/>
        </w:rPr>
        <w:t xml:space="preserve">par vakcīnu iegādi </w:t>
      </w:r>
      <w:r w:rsidRPr="68FBEB28">
        <w:rPr>
          <w:noProof/>
          <w:sz w:val="24"/>
          <w:szCs w:val="24"/>
          <w:lang w:eastAsia="lv-LV"/>
        </w:rPr>
        <w:t xml:space="preserve"> 2026./2027. gadam</w:t>
      </w:r>
      <w:r>
        <w:rPr>
          <w:noProof/>
          <w:sz w:val="24"/>
          <w:szCs w:val="24"/>
          <w:lang w:eastAsia="lv-LV"/>
        </w:rPr>
        <w:t xml:space="preserve"> apjomu</w:t>
      </w:r>
      <w:r w:rsidRPr="68FBEB28">
        <w:rPr>
          <w:noProof/>
          <w:sz w:val="24"/>
          <w:szCs w:val="24"/>
          <w:lang w:eastAsia="lv-LV"/>
        </w:rPr>
        <w:t xml:space="preserve">, ārstniecības iestādēm ir iespēja 2026. gadā turpināt pasūtīt vakcīnas pret CPV infekciju paplašinātām riska grupām un nodrošināt šo personu </w:t>
      </w:r>
      <w:r>
        <w:rPr>
          <w:noProof/>
          <w:sz w:val="24"/>
          <w:szCs w:val="24"/>
          <w:lang w:eastAsia="lv-LV"/>
        </w:rPr>
        <w:t xml:space="preserve">grupu </w:t>
      </w:r>
      <w:r w:rsidRPr="68FBEB28">
        <w:rPr>
          <w:noProof/>
          <w:sz w:val="24"/>
          <w:szCs w:val="24"/>
          <w:lang w:eastAsia="lv-LV"/>
        </w:rPr>
        <w:t>vakcināciju.</w:t>
      </w:r>
    </w:p>
    <w:p w:rsidR="007A24AA" w:rsidRPr="00610D55" w:rsidRDefault="00000000" w:rsidP="007A24AA">
      <w:pPr>
        <w:tabs>
          <w:tab w:val="left" w:pos="1134"/>
        </w:tabs>
        <w:ind w:firstLine="720"/>
        <w:contextualSpacing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>
        <w:rPr>
          <w:noProof/>
          <w:sz w:val="24"/>
          <w:szCs w:val="24"/>
          <w:lang w:eastAsia="lv-LV"/>
        </w:rPr>
        <w:t xml:space="preserve">Centrs </w:t>
      </w:r>
      <w:r w:rsidRPr="5ECE6A90">
        <w:rPr>
          <w:noProof/>
          <w:sz w:val="24"/>
          <w:szCs w:val="24"/>
          <w:lang w:eastAsia="lv-LV"/>
        </w:rPr>
        <w:t xml:space="preserve">atgādina, </w:t>
      </w:r>
      <w:bookmarkStart w:id="0" w:name="_Hlk212719325"/>
      <w:r w:rsidRPr="5ECE6A90">
        <w:rPr>
          <w:noProof/>
          <w:sz w:val="24"/>
          <w:szCs w:val="24"/>
          <w:lang w:eastAsia="lv-LV"/>
        </w:rPr>
        <w:t xml:space="preserve">ka atbilstoši </w:t>
      </w:r>
      <w:bookmarkStart w:id="1" w:name="_Hlk212719367"/>
      <w:r w:rsidRPr="5ECE6A90">
        <w:rPr>
          <w:noProof/>
          <w:sz w:val="24"/>
          <w:szCs w:val="24"/>
          <w:lang w:eastAsia="lv-LV"/>
        </w:rPr>
        <w:t xml:space="preserve">2025. gada 15. jūlija </w:t>
      </w:r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>grozījumiem Ministru kabineta noteikum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u</w:t>
      </w:r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Nr. 330 “Vakcinācijas noteikumi” </w:t>
      </w:r>
      <w:bookmarkEnd w:id="0"/>
      <w:bookmarkEnd w:id="1"/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>3.4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.</w:t>
      </w:r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punktā tika </w:t>
      </w:r>
      <w:r w:rsidRPr="00E04792">
        <w:rPr>
          <w:rFonts w:asciiTheme="majorBidi" w:hAnsiTheme="majorBidi" w:cstheme="majorBidi"/>
          <w:noProof/>
          <w:sz w:val="24"/>
          <w:szCs w:val="24"/>
          <w:lang w:eastAsia="lv-LV"/>
        </w:rPr>
        <w:t>paplašinātas vakcinācijas</w:t>
      </w:r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iespējas, paredzot valsts apmaksātu vakcināciju šādiem iedzīvotājiem, </w:t>
      </w:r>
      <w:r w:rsidRPr="5ECE6A90">
        <w:rPr>
          <w:rFonts w:asciiTheme="majorBidi" w:hAnsiTheme="majorBidi" w:cstheme="majorBidi"/>
          <w:sz w:val="24"/>
          <w:szCs w:val="24"/>
        </w:rPr>
        <w:t>kuri iepriekš nav vakcinēti (nav pabeigts vakcinācijas kurss) pret CPV infekciju:</w:t>
      </w:r>
    </w:p>
    <w:p w:rsidR="007A24AA" w:rsidRDefault="00000000" w:rsidP="007A24A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04792">
        <w:rPr>
          <w:rFonts w:asciiTheme="majorBidi" w:hAnsiTheme="majorBidi" w:cstheme="majorBidi"/>
          <w:sz w:val="24"/>
          <w:szCs w:val="24"/>
        </w:rPr>
        <w:t>paaugstinātam riskam pakļautie iedzīvotāji:</w:t>
      </w:r>
    </w:p>
    <w:p w:rsidR="007A24AA" w:rsidRDefault="00000000" w:rsidP="007A24A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sievietes no 18 līdz 55 gadiem (ieskaitot) ar dzemdes kakla </w:t>
      </w:r>
      <w:proofErr w:type="spellStart"/>
      <w:r w:rsidRPr="00E04792">
        <w:rPr>
          <w:rFonts w:asciiTheme="majorBidi" w:hAnsiTheme="majorBidi" w:cstheme="majorBidi"/>
          <w:sz w:val="24"/>
          <w:szCs w:val="24"/>
          <w:lang w:eastAsia="lv-LV"/>
        </w:rPr>
        <w:t>adenokarcinomu</w:t>
      </w:r>
      <w:proofErr w:type="spellEnd"/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proofErr w:type="spellStart"/>
      <w:r w:rsidRPr="00E04792">
        <w:rPr>
          <w:rFonts w:asciiTheme="majorBidi" w:hAnsiTheme="majorBidi" w:cstheme="majorBidi"/>
          <w:sz w:val="24"/>
          <w:szCs w:val="24"/>
          <w:lang w:eastAsia="lv-LV"/>
        </w:rPr>
        <w:t>in</w:t>
      </w:r>
      <w:proofErr w:type="spellEnd"/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 situ (AIS) un </w:t>
      </w:r>
      <w:r w:rsidRPr="00E04792">
        <w:rPr>
          <w:rFonts w:asciiTheme="majorBidi" w:hAnsiTheme="majorBidi" w:cstheme="majorBidi"/>
          <w:b/>
          <w:bCs/>
          <w:sz w:val="24"/>
          <w:szCs w:val="24"/>
          <w:lang w:eastAsia="lv-LV"/>
        </w:rPr>
        <w:t>pirms vai pēc</w:t>
      </w:r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 dzemdes kakla vidējas/smagas pakāpes </w:t>
      </w:r>
      <w:proofErr w:type="spellStart"/>
      <w:r w:rsidRPr="00E04792">
        <w:rPr>
          <w:rFonts w:asciiTheme="majorBidi" w:hAnsiTheme="majorBidi" w:cstheme="majorBidi"/>
          <w:sz w:val="24"/>
          <w:szCs w:val="24"/>
          <w:lang w:eastAsia="lv-LV"/>
        </w:rPr>
        <w:t>displāzijas</w:t>
      </w:r>
      <w:proofErr w:type="spellEnd"/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 (HSIL) ķirurģiskas ārstēšanas;</w:t>
      </w:r>
    </w:p>
    <w:p w:rsidR="007A24AA" w:rsidRDefault="00000000" w:rsidP="007A24A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sievietes no 18 līdz 45 gadiem (ieskaitot) ar </w:t>
      </w:r>
      <w:proofErr w:type="spellStart"/>
      <w:r w:rsidRPr="00E04792">
        <w:rPr>
          <w:rFonts w:asciiTheme="majorBidi" w:hAnsiTheme="majorBidi" w:cstheme="majorBidi"/>
          <w:sz w:val="24"/>
          <w:szCs w:val="24"/>
          <w:lang w:eastAsia="lv-LV"/>
        </w:rPr>
        <w:t>priekšvēža</w:t>
      </w:r>
      <w:proofErr w:type="spellEnd"/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 izmaiņām - CIN 2/3 (dzemdes kakls), </w:t>
      </w:r>
      <w:proofErr w:type="spellStart"/>
      <w:r w:rsidRPr="00E04792">
        <w:rPr>
          <w:rFonts w:asciiTheme="majorBidi" w:hAnsiTheme="majorBidi" w:cstheme="majorBidi"/>
          <w:sz w:val="24"/>
          <w:szCs w:val="24"/>
          <w:lang w:eastAsia="lv-LV"/>
        </w:rPr>
        <w:t>VaIN</w:t>
      </w:r>
      <w:proofErr w:type="spellEnd"/>
      <w:r w:rsidRPr="00E04792">
        <w:rPr>
          <w:rFonts w:asciiTheme="majorBidi" w:hAnsiTheme="majorBidi" w:cstheme="majorBidi"/>
          <w:sz w:val="24"/>
          <w:szCs w:val="24"/>
          <w:lang w:eastAsia="lv-LV"/>
        </w:rPr>
        <w:t xml:space="preserve"> 2/3 (maksts), VIN 2/3 (</w:t>
      </w:r>
      <w:proofErr w:type="spellStart"/>
      <w:r w:rsidRPr="00E04792">
        <w:rPr>
          <w:rFonts w:asciiTheme="majorBidi" w:hAnsiTheme="majorBidi" w:cstheme="majorBidi"/>
          <w:sz w:val="24"/>
          <w:szCs w:val="24"/>
          <w:lang w:eastAsia="lv-LV"/>
        </w:rPr>
        <w:t>vulva</w:t>
      </w:r>
      <w:proofErr w:type="spellEnd"/>
      <w:r w:rsidRPr="00E04792">
        <w:rPr>
          <w:rFonts w:asciiTheme="majorBidi" w:hAnsiTheme="majorBidi" w:cstheme="majorBidi"/>
          <w:sz w:val="24"/>
          <w:szCs w:val="24"/>
          <w:lang w:eastAsia="lv-LV"/>
        </w:rPr>
        <w:t>) un AIN 2/3 (anālais kanāls);</w:t>
      </w:r>
    </w:p>
    <w:p w:rsidR="007A24AA" w:rsidRDefault="00000000" w:rsidP="007A24A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04792">
        <w:rPr>
          <w:rFonts w:asciiTheme="majorBidi" w:hAnsiTheme="majorBidi" w:cstheme="majorBidi"/>
          <w:sz w:val="24"/>
          <w:szCs w:val="24"/>
        </w:rPr>
        <w:t xml:space="preserve">sievietes un vīrieši no 18 </w:t>
      </w:r>
      <w:r w:rsidRPr="00E04792">
        <w:rPr>
          <w:rFonts w:asciiTheme="majorBidi" w:hAnsiTheme="majorBidi" w:cstheme="majorBidi"/>
          <w:color w:val="000000" w:themeColor="text1"/>
          <w:sz w:val="24"/>
          <w:szCs w:val="24"/>
        </w:rPr>
        <w:t>līdz 45 g</w:t>
      </w:r>
      <w:r w:rsidRPr="00E04792">
        <w:rPr>
          <w:rFonts w:asciiTheme="majorBidi" w:hAnsiTheme="majorBidi" w:cstheme="majorBidi"/>
          <w:sz w:val="24"/>
          <w:szCs w:val="24"/>
        </w:rPr>
        <w:t xml:space="preserve">adiem (ieskaitot) ar </w:t>
      </w:r>
      <w:proofErr w:type="spellStart"/>
      <w:r w:rsidRPr="00E04792">
        <w:rPr>
          <w:rFonts w:asciiTheme="majorBidi" w:hAnsiTheme="majorBidi" w:cstheme="majorBidi"/>
          <w:sz w:val="24"/>
          <w:szCs w:val="24"/>
        </w:rPr>
        <w:t>imūnsupresiju</w:t>
      </w:r>
      <w:proofErr w:type="spellEnd"/>
      <w:r w:rsidRPr="00E04792">
        <w:rPr>
          <w:rFonts w:asciiTheme="majorBidi" w:hAnsiTheme="majorBidi" w:cstheme="majorBidi"/>
          <w:sz w:val="24"/>
          <w:szCs w:val="24"/>
        </w:rPr>
        <w:t xml:space="preserve"> bez HIV infekcijas;</w:t>
      </w:r>
    </w:p>
    <w:p w:rsidR="007A24AA" w:rsidRPr="00E04792" w:rsidRDefault="00000000" w:rsidP="007A24A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04792">
        <w:rPr>
          <w:rFonts w:asciiTheme="majorBidi" w:hAnsiTheme="majorBidi" w:cstheme="majorBidi"/>
          <w:sz w:val="24"/>
          <w:szCs w:val="24"/>
        </w:rPr>
        <w:t>sievietes un vīrieši no 18 līdz 45 gadiem (ieskaitot) ar HIV infekciju;</w:t>
      </w:r>
    </w:p>
    <w:p w:rsidR="007A24AA" w:rsidRPr="00EF5903" w:rsidRDefault="00000000" w:rsidP="007A24A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68FBEB28">
        <w:rPr>
          <w:rFonts w:asciiTheme="majorBidi" w:hAnsiTheme="majorBidi" w:cstheme="majorBidi"/>
          <w:sz w:val="24"/>
          <w:szCs w:val="24"/>
        </w:rPr>
        <w:t>sievietes un vīrieši vecumā no 18 līdz 25 gadiem (ieskaitot).</w:t>
      </w:r>
    </w:p>
    <w:p w:rsidR="007A24AA" w:rsidRDefault="00000000" w:rsidP="007A24AA">
      <w:pPr>
        <w:tabs>
          <w:tab w:val="left" w:pos="1134"/>
        </w:tabs>
        <w:ind w:firstLine="720"/>
        <w:jc w:val="both"/>
      </w:pPr>
      <w:r w:rsidRPr="68FBEB28">
        <w:rPr>
          <w:rFonts w:asciiTheme="majorBidi" w:hAnsiTheme="majorBidi" w:cstheme="majorBidi"/>
          <w:noProof/>
          <w:sz w:val="24"/>
          <w:szCs w:val="24"/>
          <w:lang w:eastAsia="lv-LV"/>
        </w:rPr>
        <w:t>Centrs informē, ka 2025. gadā (līdz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13.</w:t>
      </w:r>
      <w:r w:rsidRPr="68FBEB28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decembrim) paplašinātās vakcinācijas ietvaros vakcinācija pret CPV infekciju uzsākta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3051</w:t>
      </w:r>
      <w:r w:rsidRPr="68FBEB28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personām, tostarp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783</w:t>
      </w:r>
      <w:r w:rsidRPr="68FBEB28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personām ar klīniskām indikācijām un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2268</w:t>
      </w:r>
      <w:r w:rsidRPr="68FBEB28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personām vecumā no 18 līdz 25 gadiem bez klīniskām indikācijām.</w:t>
      </w:r>
    </w:p>
    <w:p w:rsidR="007A24AA" w:rsidRDefault="00000000" w:rsidP="007A24AA">
      <w:pPr>
        <w:tabs>
          <w:tab w:val="left" w:pos="1134"/>
        </w:tabs>
        <w:ind w:firstLine="720"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>Lūdzam izp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la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>tīt informāciju asociāciju biedriem.</w:t>
      </w:r>
    </w:p>
    <w:p w:rsidR="00477923" w:rsidRPr="003F6412" w:rsidRDefault="00000000" w:rsidP="00784C77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F9508D">
        <w:rPr>
          <w:sz w:val="24"/>
          <w:szCs w:val="24"/>
        </w:rPr>
        <w:t xml:space="preserve">a </w:t>
      </w:r>
      <w:proofErr w:type="spellStart"/>
      <w:r w:rsidR="00F9508D">
        <w:rPr>
          <w:sz w:val="24"/>
          <w:szCs w:val="24"/>
        </w:rPr>
        <w:t>p.i</w:t>
      </w:r>
      <w:proofErr w:type="spellEnd"/>
      <w:r w:rsidR="00F9508D">
        <w:rPr>
          <w:sz w:val="24"/>
          <w:szCs w:val="24"/>
        </w:rPr>
        <w:t>.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:rsidR="002079F2" w:rsidRDefault="00000000" w:rsidP="002079F2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:rsidR="00A91007" w:rsidRPr="00A91007" w:rsidRDefault="00000000" w:rsidP="00477923">
      <w:pPr>
        <w:pStyle w:val="BodyB"/>
      </w:pPr>
      <w:r>
        <w:rPr>
          <w:noProof/>
          <w:sz w:val="20"/>
        </w:rPr>
        <w:t>linda.krauze@spkc.gov.lv</w:t>
      </w:r>
    </w:p>
    <w:sectPr w:rsidR="00A91007" w:rsidRPr="00A91007" w:rsidSect="008C26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487" w:rsidRDefault="00032487">
      <w:r>
        <w:separator/>
      </w:r>
    </w:p>
  </w:endnote>
  <w:endnote w:type="continuationSeparator" w:id="0">
    <w:p w:rsidR="00032487" w:rsidRDefault="0003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E4B" w:rsidRDefault="00000000" w:rsidP="00F84E4B">
    <w:pPr>
      <w:pStyle w:val="Footer"/>
      <w:jc w:val="center"/>
    </w:pPr>
    <w:r w:rsidRPr="001B3C4F">
      <w:t>DOKUMENTS PARAKSTĪTS ELEKTRONISKI AR DROŠU ELEKTRONISKO PARAKSTU</w:t>
    </w:r>
  </w:p>
  <w:p w:rsidR="00CD015F" w:rsidRDefault="00000000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487" w:rsidRDefault="00032487">
      <w:r>
        <w:separator/>
      </w:r>
    </w:p>
  </w:footnote>
  <w:footnote w:type="continuationSeparator" w:id="0">
    <w:p w:rsidR="00032487" w:rsidRDefault="00032487">
      <w:r>
        <w:continuationSeparator/>
      </w:r>
    </w:p>
  </w:footnote>
  <w:footnote w:id="1">
    <w:p w:rsidR="007A24AA" w:rsidRDefault="00000000" w:rsidP="007A24AA">
      <w:pPr>
        <w:pStyle w:val="FootnoteText"/>
      </w:pPr>
      <w:r w:rsidRPr="68FBEB28">
        <w:rPr>
          <w:rStyle w:val="FootnoteReference"/>
        </w:rPr>
        <w:footnoteRef/>
      </w:r>
      <w:r>
        <w:t xml:space="preserve"> 3.</w:t>
      </w:r>
      <w:r w:rsidRPr="68FBEB28">
        <w:rPr>
          <w:vertAlign w:val="superscript"/>
        </w:rPr>
        <w:t>5</w:t>
      </w:r>
      <w:r>
        <w:t xml:space="preserve"> .... Slimību profilakses un kontroles centrs katru gadu līdz 30. decembrim informē vakcinācijas iestādes par tām nākamajā gadā pieejamo vakcīnu pret cilvēka </w:t>
      </w:r>
      <w:proofErr w:type="spellStart"/>
      <w:r>
        <w:t>papilomas</w:t>
      </w:r>
      <w:proofErr w:type="spellEnd"/>
      <w:r>
        <w:t xml:space="preserve"> vīrusa infekciju apjomu šo noteikumu 3.</w:t>
      </w:r>
      <w:r w:rsidRPr="68FBEB28">
        <w:rPr>
          <w:vertAlign w:val="superscript"/>
        </w:rPr>
        <w:t>4</w:t>
      </w:r>
      <w:r>
        <w:t> punktā minēto personu [paaugstinātam riskam pakļautas personu grupas] vakcinācijai (https://likumi.lv/ta/id/11215-vakcinacijas-noteikumi)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640B"/>
    <w:multiLevelType w:val="hybridMultilevel"/>
    <w:tmpl w:val="0D3E70C8"/>
    <w:lvl w:ilvl="0" w:tplc="D2E4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EC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A6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E4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66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ED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68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C6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E6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76723"/>
    <w:multiLevelType w:val="hybridMultilevel"/>
    <w:tmpl w:val="75C4787A"/>
    <w:lvl w:ilvl="0" w:tplc="2654C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F25F26">
      <w:start w:val="1"/>
      <w:numFmt w:val="lowerLetter"/>
      <w:lvlText w:val="%2."/>
      <w:lvlJc w:val="left"/>
      <w:pPr>
        <w:ind w:left="1440" w:hanging="360"/>
      </w:pPr>
    </w:lvl>
    <w:lvl w:ilvl="2" w:tplc="A4247524" w:tentative="1">
      <w:start w:val="1"/>
      <w:numFmt w:val="lowerRoman"/>
      <w:lvlText w:val="%3."/>
      <w:lvlJc w:val="right"/>
      <w:pPr>
        <w:ind w:left="2160" w:hanging="180"/>
      </w:pPr>
    </w:lvl>
    <w:lvl w:ilvl="3" w:tplc="4440B500" w:tentative="1">
      <w:start w:val="1"/>
      <w:numFmt w:val="decimal"/>
      <w:lvlText w:val="%4."/>
      <w:lvlJc w:val="left"/>
      <w:pPr>
        <w:ind w:left="2880" w:hanging="360"/>
      </w:pPr>
    </w:lvl>
    <w:lvl w:ilvl="4" w:tplc="79344CC2" w:tentative="1">
      <w:start w:val="1"/>
      <w:numFmt w:val="lowerLetter"/>
      <w:lvlText w:val="%5."/>
      <w:lvlJc w:val="left"/>
      <w:pPr>
        <w:ind w:left="3600" w:hanging="360"/>
      </w:pPr>
    </w:lvl>
    <w:lvl w:ilvl="5" w:tplc="473A1146" w:tentative="1">
      <w:start w:val="1"/>
      <w:numFmt w:val="lowerRoman"/>
      <w:lvlText w:val="%6."/>
      <w:lvlJc w:val="right"/>
      <w:pPr>
        <w:ind w:left="4320" w:hanging="180"/>
      </w:pPr>
    </w:lvl>
    <w:lvl w:ilvl="6" w:tplc="16AAC904" w:tentative="1">
      <w:start w:val="1"/>
      <w:numFmt w:val="decimal"/>
      <w:lvlText w:val="%7."/>
      <w:lvlJc w:val="left"/>
      <w:pPr>
        <w:ind w:left="5040" w:hanging="360"/>
      </w:pPr>
    </w:lvl>
    <w:lvl w:ilvl="7" w:tplc="57629C52" w:tentative="1">
      <w:start w:val="1"/>
      <w:numFmt w:val="lowerLetter"/>
      <w:lvlText w:val="%8."/>
      <w:lvlJc w:val="left"/>
      <w:pPr>
        <w:ind w:left="5760" w:hanging="360"/>
      </w:pPr>
    </w:lvl>
    <w:lvl w:ilvl="8" w:tplc="93604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1"/>
  </w:num>
  <w:num w:numId="2" w16cid:durableId="619871805">
    <w:abstractNumId w:val="2"/>
  </w:num>
  <w:num w:numId="3" w16cid:durableId="6884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32487"/>
    <w:rsid w:val="000D65D1"/>
    <w:rsid w:val="00112C48"/>
    <w:rsid w:val="00154B6E"/>
    <w:rsid w:val="00172A3B"/>
    <w:rsid w:val="00191AFF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2A7E8A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4C2650"/>
    <w:rsid w:val="00505CA0"/>
    <w:rsid w:val="005249D9"/>
    <w:rsid w:val="0055269A"/>
    <w:rsid w:val="005603D1"/>
    <w:rsid w:val="00587CC8"/>
    <w:rsid w:val="005925F6"/>
    <w:rsid w:val="005A7D4D"/>
    <w:rsid w:val="005D3E87"/>
    <w:rsid w:val="00610D55"/>
    <w:rsid w:val="006765DF"/>
    <w:rsid w:val="006A3E8D"/>
    <w:rsid w:val="006D3FD6"/>
    <w:rsid w:val="007322A6"/>
    <w:rsid w:val="00784C77"/>
    <w:rsid w:val="007906BB"/>
    <w:rsid w:val="007A24AA"/>
    <w:rsid w:val="00874308"/>
    <w:rsid w:val="00893003"/>
    <w:rsid w:val="008B15BC"/>
    <w:rsid w:val="008B6D06"/>
    <w:rsid w:val="008B742D"/>
    <w:rsid w:val="008C265B"/>
    <w:rsid w:val="00904A35"/>
    <w:rsid w:val="00987215"/>
    <w:rsid w:val="00994AA3"/>
    <w:rsid w:val="009E26F3"/>
    <w:rsid w:val="00A23AAC"/>
    <w:rsid w:val="00A24A6B"/>
    <w:rsid w:val="00A277B8"/>
    <w:rsid w:val="00A91007"/>
    <w:rsid w:val="00B05611"/>
    <w:rsid w:val="00B16961"/>
    <w:rsid w:val="00B86B76"/>
    <w:rsid w:val="00BE7124"/>
    <w:rsid w:val="00BF3D96"/>
    <w:rsid w:val="00C12D6E"/>
    <w:rsid w:val="00C4438A"/>
    <w:rsid w:val="00C678E2"/>
    <w:rsid w:val="00C92245"/>
    <w:rsid w:val="00CA27BF"/>
    <w:rsid w:val="00CB0285"/>
    <w:rsid w:val="00CB2202"/>
    <w:rsid w:val="00CB77F0"/>
    <w:rsid w:val="00CC1A82"/>
    <w:rsid w:val="00CC4F90"/>
    <w:rsid w:val="00CD015F"/>
    <w:rsid w:val="00D03EEB"/>
    <w:rsid w:val="00D30169"/>
    <w:rsid w:val="00D5053F"/>
    <w:rsid w:val="00D50D6D"/>
    <w:rsid w:val="00D831E1"/>
    <w:rsid w:val="00D92D62"/>
    <w:rsid w:val="00DC0153"/>
    <w:rsid w:val="00DC1881"/>
    <w:rsid w:val="00DE33E0"/>
    <w:rsid w:val="00E029CF"/>
    <w:rsid w:val="00E04792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EF5903"/>
    <w:rsid w:val="00F06814"/>
    <w:rsid w:val="00F84E4B"/>
    <w:rsid w:val="00F9508D"/>
    <w:rsid w:val="00FB54D0"/>
    <w:rsid w:val="00FE4CB2"/>
    <w:rsid w:val="5ECE6A90"/>
    <w:rsid w:val="68FBE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252E5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65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650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2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C:\Users\inga.purenina\Desktop\SPKC\4_vestule_elektroniskais_paraksts_valsts_valoda_pilnkrasu.dotx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Eleonora Taube</cp:lastModifiedBy>
  <cp:revision>1</cp:revision>
  <cp:lastPrinted>2016-02-15T06:53:00Z</cp:lastPrinted>
  <dcterms:created xsi:type="dcterms:W3CDTF">2025-12-30T08:40:00Z</dcterms:created>
  <dcterms:modified xsi:type="dcterms:W3CDTF">2025-12-30T08:40:00Z</dcterms:modified>
</cp:coreProperties>
</file>