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473C9" w14:textId="022CEC88" w:rsidR="00916F5D" w:rsidRDefault="00916F5D" w:rsidP="00916F5D">
      <w:pPr>
        <w:pStyle w:val="xmsonormal"/>
      </w:pPr>
      <w:r>
        <w:t>09.01.2026</w:t>
      </w:r>
    </w:p>
    <w:p w14:paraId="1206DD76" w14:textId="77777777" w:rsidR="00916F5D" w:rsidRDefault="00916F5D" w:rsidP="00916F5D">
      <w:pPr>
        <w:pStyle w:val="xxmsonormal"/>
      </w:pPr>
      <w:r>
        <w:rPr>
          <w:rFonts w:ascii="Times New Roman" w:hAnsi="Times New Roman" w:cs="Times New Roman"/>
        </w:rPr>
        <w:t> </w:t>
      </w:r>
    </w:p>
    <w:p w14:paraId="2C6ABAB4" w14:textId="77777777" w:rsidR="00916F5D" w:rsidRDefault="00916F5D" w:rsidP="00916F5D">
      <w:pPr>
        <w:pStyle w:val="xmsonormal"/>
        <w:jc w:val="both"/>
      </w:pPr>
      <w:r>
        <w:rPr>
          <w:rFonts w:ascii="Times New Roman" w:hAnsi="Times New Roman" w:cs="Times New Roman"/>
          <w:sz w:val="22"/>
          <w:szCs w:val="22"/>
        </w:rPr>
        <w:t>E-pasta vēstules nosaukums:</w:t>
      </w:r>
    </w:p>
    <w:p w14:paraId="15896622" w14:textId="77777777" w:rsidR="00916F5D" w:rsidRDefault="00916F5D" w:rsidP="00916F5D">
      <w:pPr>
        <w:pStyle w:val="xmsonormal"/>
        <w:jc w:val="both"/>
      </w:pPr>
      <w:r>
        <w:rPr>
          <w:rFonts w:ascii="Times New Roman" w:hAnsi="Times New Roman" w:cs="Times New Roman"/>
          <w:sz w:val="22"/>
          <w:szCs w:val="22"/>
        </w:rPr>
        <w:t> </w:t>
      </w:r>
    </w:p>
    <w:p w14:paraId="531FD88D" w14:textId="77777777" w:rsidR="00916F5D" w:rsidRDefault="00916F5D" w:rsidP="00916F5D">
      <w:pPr>
        <w:pStyle w:val="xmsonormal"/>
        <w:jc w:val="both"/>
      </w:pPr>
      <w:r>
        <w:rPr>
          <w:rFonts w:ascii="Times New Roman" w:hAnsi="Times New Roman" w:cs="Times New Roman"/>
          <w:sz w:val="22"/>
          <w:szCs w:val="22"/>
        </w:rPr>
        <w:t>Informācija līgumpartneriem par laboratorijas manipulācijām</w:t>
      </w:r>
    </w:p>
    <w:p w14:paraId="07C38DE4" w14:textId="77777777" w:rsidR="00916F5D" w:rsidRDefault="00916F5D" w:rsidP="00916F5D">
      <w:pPr>
        <w:pStyle w:val="xmsonormal"/>
      </w:pPr>
      <w:r>
        <w:rPr>
          <w:rFonts w:ascii="Times New Roman" w:hAnsi="Times New Roman" w:cs="Times New Roman"/>
          <w:sz w:val="22"/>
          <w:szCs w:val="22"/>
        </w:rPr>
        <w:t> </w:t>
      </w:r>
    </w:p>
    <w:p w14:paraId="7427102F" w14:textId="76FA2A17" w:rsidR="00916F5D" w:rsidRDefault="00916F5D" w:rsidP="00916F5D">
      <w:pPr>
        <w:pStyle w:val="xxmsonormal"/>
        <w:jc w:val="both"/>
      </w:pPr>
      <w:r>
        <w:rPr>
          <w:rFonts w:ascii="Times New Roman" w:hAnsi="Times New Roman" w:cs="Times New Roman"/>
        </w:rPr>
        <w:t xml:space="preserve">      Nacionālais veselības dienests, atsaucoties uz 2025. gada 6. oktobrī izsūtīto vēstuli par plānotajām izmaiņām manipulāciju sarakstā no 2026. gada 1. janvāra, atkārtoti informē par izmaiņām laboratorijas manipulāciju apmaksas nosacījumos. </w:t>
      </w:r>
    </w:p>
    <w:p w14:paraId="19A4C94C" w14:textId="77777777" w:rsidR="00916F5D" w:rsidRDefault="00916F5D" w:rsidP="00916F5D">
      <w:pPr>
        <w:pStyle w:val="xxmsonormal"/>
        <w:jc w:val="both"/>
      </w:pPr>
      <w:r>
        <w:rPr>
          <w:rFonts w:ascii="Times New Roman" w:hAnsi="Times New Roman" w:cs="Times New Roman"/>
        </w:rPr>
        <w:t> </w:t>
      </w:r>
    </w:p>
    <w:p w14:paraId="61CB2394" w14:textId="77777777" w:rsidR="00916F5D" w:rsidRDefault="00916F5D" w:rsidP="00916F5D">
      <w:pPr>
        <w:pStyle w:val="xxmsonormal"/>
        <w:jc w:val="both"/>
      </w:pPr>
      <w:r>
        <w:rPr>
          <w:rFonts w:ascii="Times New Roman" w:hAnsi="Times New Roman" w:cs="Times New Roman"/>
        </w:rPr>
        <w:t>Ņemot vērā aizkavēšanos ar manipulāciju sarasta savlaicīgu publicēšanu un pacientu tiesības saņemt pakalpojumu ar iepriekš izsniegtiem nosūtījumiem, Dienests informē, ka samaksa par manipulācijām ar iepriekš spēkā esošajiem apmaksas nosacījumiem tiks veikta līdz 2026. gada 31. janvārim (ieskaitot</w:t>
      </w:r>
      <w:r>
        <w:t xml:space="preserve">). </w:t>
      </w:r>
    </w:p>
    <w:p w14:paraId="4920BCBB" w14:textId="77777777" w:rsidR="00916F5D" w:rsidRDefault="00916F5D" w:rsidP="00916F5D">
      <w:pPr>
        <w:pStyle w:val="xxmsonormal"/>
      </w:pPr>
      <w:r>
        <w:t> </w:t>
      </w:r>
    </w:p>
    <w:tbl>
      <w:tblPr>
        <w:tblW w:w="8495" w:type="dxa"/>
        <w:tblLayout w:type="fixed"/>
        <w:tblCellMar>
          <w:left w:w="0" w:type="dxa"/>
          <w:right w:w="0" w:type="dxa"/>
        </w:tblCellMar>
        <w:tblLook w:val="04A0" w:firstRow="1" w:lastRow="0" w:firstColumn="1" w:lastColumn="0" w:noHBand="0" w:noVBand="1"/>
      </w:tblPr>
      <w:tblGrid>
        <w:gridCol w:w="1538"/>
        <w:gridCol w:w="716"/>
        <w:gridCol w:w="1723"/>
        <w:gridCol w:w="566"/>
        <w:gridCol w:w="3952"/>
      </w:tblGrid>
      <w:tr w:rsidR="004878D3" w14:paraId="7063D185" w14:textId="77777777" w:rsidTr="005C3D7C">
        <w:trPr>
          <w:trHeight w:val="1164"/>
        </w:trPr>
        <w:tc>
          <w:tcPr>
            <w:tcW w:w="15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F53538" w14:textId="77777777" w:rsidR="00916F5D" w:rsidRDefault="00916F5D">
            <w:pPr>
              <w:pStyle w:val="xxmsonormal"/>
            </w:pPr>
            <w:r>
              <w:rPr>
                <w:rFonts w:ascii="Times New Roman" w:hAnsi="Times New Roman" w:cs="Times New Roman"/>
                <w:color w:val="000000"/>
                <w:sz w:val="20"/>
                <w:szCs w:val="20"/>
              </w:rPr>
              <w:t>Vairogdziedzera hormoni</w:t>
            </w:r>
          </w:p>
        </w:tc>
        <w:tc>
          <w:tcPr>
            <w:tcW w:w="71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074C4E" w14:textId="77777777" w:rsidR="00916F5D" w:rsidRDefault="00916F5D">
            <w:pPr>
              <w:pStyle w:val="xxmsonormal"/>
              <w:jc w:val="center"/>
            </w:pPr>
            <w:r>
              <w:rPr>
                <w:rFonts w:ascii="Times New Roman" w:hAnsi="Times New Roman" w:cs="Times New Roman"/>
                <w:color w:val="000000"/>
                <w:sz w:val="20"/>
                <w:szCs w:val="20"/>
              </w:rPr>
              <w:t>41142</w:t>
            </w:r>
          </w:p>
        </w:tc>
        <w:tc>
          <w:tcPr>
            <w:tcW w:w="17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407378E" w14:textId="77777777" w:rsidR="00916F5D" w:rsidRDefault="00916F5D">
            <w:pPr>
              <w:pStyle w:val="xxmsonormal"/>
            </w:pPr>
            <w:proofErr w:type="spellStart"/>
            <w:r>
              <w:rPr>
                <w:rFonts w:ascii="Times New Roman" w:hAnsi="Times New Roman" w:cs="Times New Roman"/>
                <w:color w:val="000000"/>
                <w:sz w:val="20"/>
                <w:szCs w:val="20"/>
              </w:rPr>
              <w:t>Tireotropais</w:t>
            </w:r>
            <w:proofErr w:type="spellEnd"/>
            <w:r>
              <w:rPr>
                <w:rFonts w:ascii="Times New Roman" w:hAnsi="Times New Roman" w:cs="Times New Roman"/>
                <w:color w:val="000000"/>
                <w:sz w:val="20"/>
                <w:szCs w:val="20"/>
              </w:rPr>
              <w:t xml:space="preserve"> hormons (TSH)</w:t>
            </w:r>
          </w:p>
        </w:tc>
        <w:tc>
          <w:tcPr>
            <w:tcW w:w="5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EB4005" w14:textId="77777777" w:rsidR="00916F5D" w:rsidRDefault="00916F5D">
            <w:pPr>
              <w:pStyle w:val="xxmsonormal"/>
              <w:jc w:val="right"/>
            </w:pPr>
            <w:r>
              <w:rPr>
                <w:rFonts w:ascii="Times New Roman" w:hAnsi="Times New Roman" w:cs="Times New Roman"/>
                <w:color w:val="000000"/>
                <w:sz w:val="20"/>
                <w:szCs w:val="20"/>
              </w:rPr>
              <w:t>4.57</w:t>
            </w:r>
          </w:p>
        </w:tc>
        <w:tc>
          <w:tcPr>
            <w:tcW w:w="39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03B5D6" w14:textId="77777777" w:rsidR="00916F5D" w:rsidRDefault="00916F5D">
            <w:pPr>
              <w:pStyle w:val="xxmsonormal"/>
            </w:pPr>
            <w:r>
              <w:rPr>
                <w:rFonts w:ascii="Times New Roman" w:hAnsi="Times New Roman" w:cs="Times New Roman"/>
                <w:color w:val="000000"/>
                <w:sz w:val="20"/>
                <w:szCs w:val="20"/>
              </w:rPr>
              <w:t>Ambulatori šo manipulāciju apmaksā</w:t>
            </w:r>
            <w:r>
              <w:rPr>
                <w:rFonts w:ascii="Times New Roman" w:hAnsi="Times New Roman" w:cs="Times New Roman"/>
                <w:color w:val="FF0000"/>
                <w:sz w:val="20"/>
                <w:szCs w:val="20"/>
              </w:rPr>
              <w:t>:</w:t>
            </w:r>
            <w:r>
              <w:rPr>
                <w:rFonts w:ascii="Times New Roman" w:hAnsi="Times New Roman" w:cs="Times New Roman"/>
                <w:color w:val="000000"/>
                <w:sz w:val="20"/>
                <w:szCs w:val="20"/>
              </w:rPr>
              <w:t xml:space="preserve"> </w:t>
            </w:r>
            <w:r>
              <w:rPr>
                <w:rFonts w:ascii="Times New Roman" w:hAnsi="Times New Roman" w:cs="Times New Roman"/>
                <w:strike/>
                <w:color w:val="000000"/>
                <w:sz w:val="20"/>
                <w:szCs w:val="20"/>
              </w:rPr>
              <w:t>ne biežāk kā vienu reizi kalendāra gadā</w:t>
            </w:r>
            <w:r>
              <w:rPr>
                <w:rFonts w:ascii="Times New Roman" w:hAnsi="Times New Roman" w:cs="Times New Roman"/>
                <w:strike/>
                <w:color w:val="FF0000"/>
                <w:sz w:val="20"/>
                <w:szCs w:val="20"/>
              </w:rPr>
              <w:t>:</w:t>
            </w:r>
            <w:r>
              <w:rPr>
                <w:rFonts w:ascii="Times New Roman" w:hAnsi="Times New Roman" w:cs="Times New Roman"/>
                <w:strike/>
                <w:color w:val="000000"/>
                <w:sz w:val="20"/>
                <w:szCs w:val="20"/>
              </w:rPr>
              <w:t xml:space="preserve"> izņemot pacientus ar vairogdziedzera saslimšanām vai ar bērnu psihiatra, bērnu </w:t>
            </w:r>
            <w:proofErr w:type="spellStart"/>
            <w:r>
              <w:rPr>
                <w:rFonts w:ascii="Times New Roman" w:hAnsi="Times New Roman" w:cs="Times New Roman"/>
                <w:strike/>
                <w:color w:val="000000"/>
                <w:sz w:val="20"/>
                <w:szCs w:val="20"/>
              </w:rPr>
              <w:t>reimatologa</w:t>
            </w:r>
            <w:proofErr w:type="spellEnd"/>
            <w:r>
              <w:rPr>
                <w:rFonts w:ascii="Times New Roman" w:hAnsi="Times New Roman" w:cs="Times New Roman"/>
                <w:strike/>
                <w:color w:val="000000"/>
                <w:sz w:val="20"/>
                <w:szCs w:val="20"/>
              </w:rPr>
              <w:t xml:space="preserve"> vai ārsta </w:t>
            </w:r>
            <w:proofErr w:type="spellStart"/>
            <w:r>
              <w:rPr>
                <w:rFonts w:ascii="Times New Roman" w:hAnsi="Times New Roman" w:cs="Times New Roman"/>
                <w:strike/>
                <w:color w:val="000000"/>
                <w:sz w:val="20"/>
                <w:szCs w:val="20"/>
              </w:rPr>
              <w:t>ģenētiķa</w:t>
            </w:r>
            <w:proofErr w:type="spellEnd"/>
            <w:r>
              <w:rPr>
                <w:rFonts w:ascii="Times New Roman" w:hAnsi="Times New Roman" w:cs="Times New Roman"/>
                <w:strike/>
                <w:color w:val="000000"/>
                <w:sz w:val="20"/>
                <w:szCs w:val="20"/>
              </w:rPr>
              <w:t xml:space="preserve"> nosūtījumu. </w:t>
            </w:r>
            <w:r>
              <w:rPr>
                <w:rFonts w:ascii="Times New Roman" w:hAnsi="Times New Roman" w:cs="Times New Roman"/>
                <w:strike/>
                <w:color w:val="000000"/>
                <w:sz w:val="20"/>
                <w:szCs w:val="20"/>
              </w:rPr>
              <w:br/>
            </w:r>
            <w:r>
              <w:rPr>
                <w:rFonts w:ascii="Times New Roman" w:hAnsi="Times New Roman" w:cs="Times New Roman"/>
                <w:color w:val="FF0000"/>
                <w:sz w:val="20"/>
                <w:szCs w:val="20"/>
              </w:rPr>
              <w:t xml:space="preserve">1) ne biežāk kā vienu reizi kalendāra gadā pacientiem ar aizdomām par vairogdziedzera saslimšanām; </w:t>
            </w:r>
            <w:r>
              <w:rPr>
                <w:rFonts w:ascii="Times New Roman" w:hAnsi="Times New Roman" w:cs="Times New Roman"/>
                <w:color w:val="FF0000"/>
                <w:sz w:val="20"/>
                <w:szCs w:val="20"/>
              </w:rPr>
              <w:br/>
              <w:t>2) pacientiem ar vairogdziedzera saslimšanām;</w:t>
            </w:r>
            <w:r>
              <w:rPr>
                <w:rFonts w:ascii="Times New Roman" w:hAnsi="Times New Roman" w:cs="Times New Roman"/>
                <w:color w:val="FF0000"/>
                <w:sz w:val="20"/>
                <w:szCs w:val="20"/>
              </w:rPr>
              <w:br/>
              <w:t>3) pacientiem ar hematologa vai endokrinologa nosūtījumu.</w:t>
            </w:r>
          </w:p>
        </w:tc>
      </w:tr>
      <w:tr w:rsidR="004878D3" w14:paraId="14CAB630" w14:textId="77777777" w:rsidTr="005C3D7C">
        <w:trPr>
          <w:trHeight w:val="453"/>
        </w:trPr>
        <w:tc>
          <w:tcPr>
            <w:tcW w:w="15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69C20B" w14:textId="77777777" w:rsidR="00916F5D" w:rsidRDefault="00916F5D">
            <w:pPr>
              <w:pStyle w:val="xxmsonormal"/>
            </w:pPr>
            <w:r>
              <w:rPr>
                <w:rFonts w:ascii="Times New Roman" w:hAnsi="Times New Roman" w:cs="Times New Roman"/>
                <w:color w:val="000000"/>
                <w:sz w:val="20"/>
                <w:szCs w:val="20"/>
              </w:rPr>
              <w:t>Klīniskā ķīmija. Olbaltumvielu maiņa</w:t>
            </w:r>
          </w:p>
        </w:tc>
        <w:tc>
          <w:tcPr>
            <w:tcW w:w="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45FB09" w14:textId="77777777" w:rsidR="00916F5D" w:rsidRDefault="00916F5D">
            <w:pPr>
              <w:pStyle w:val="xxmsonormal"/>
              <w:jc w:val="center"/>
            </w:pPr>
            <w:r>
              <w:rPr>
                <w:rFonts w:ascii="Times New Roman" w:hAnsi="Times New Roman" w:cs="Times New Roman"/>
                <w:sz w:val="20"/>
                <w:szCs w:val="20"/>
              </w:rPr>
              <w:t>41004</w:t>
            </w:r>
          </w:p>
        </w:tc>
        <w:tc>
          <w:tcPr>
            <w:tcW w:w="17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BC5657" w14:textId="77777777" w:rsidR="00916F5D" w:rsidRDefault="00916F5D">
            <w:pPr>
              <w:pStyle w:val="xxmsonormal"/>
            </w:pPr>
            <w:r>
              <w:rPr>
                <w:rFonts w:ascii="Times New Roman" w:hAnsi="Times New Roman" w:cs="Times New Roman"/>
                <w:sz w:val="20"/>
                <w:szCs w:val="20"/>
              </w:rPr>
              <w:t>Urīnviela</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495227" w14:textId="77777777" w:rsidR="00916F5D" w:rsidRDefault="00916F5D">
            <w:pPr>
              <w:pStyle w:val="xxmsonormal"/>
              <w:jc w:val="right"/>
            </w:pPr>
            <w:r>
              <w:rPr>
                <w:rFonts w:ascii="Times New Roman" w:hAnsi="Times New Roman" w:cs="Times New Roman"/>
                <w:sz w:val="20"/>
                <w:szCs w:val="20"/>
              </w:rPr>
              <w:t>1.45</w:t>
            </w:r>
          </w:p>
        </w:tc>
        <w:tc>
          <w:tcPr>
            <w:tcW w:w="3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EE1501A" w14:textId="77777777" w:rsidR="00916F5D" w:rsidRDefault="00916F5D">
            <w:pPr>
              <w:pStyle w:val="xxmsonormal"/>
            </w:pPr>
            <w:r>
              <w:rPr>
                <w:rFonts w:ascii="Times New Roman" w:hAnsi="Times New Roman" w:cs="Times New Roman"/>
                <w:strike/>
                <w:color w:val="000000"/>
                <w:sz w:val="20"/>
                <w:szCs w:val="20"/>
              </w:rPr>
              <w:t>Apmaksā arī ambulatori.</w:t>
            </w:r>
            <w:r>
              <w:rPr>
                <w:rFonts w:ascii="Times New Roman" w:hAnsi="Times New Roman" w:cs="Times New Roman"/>
                <w:color w:val="000000"/>
                <w:sz w:val="20"/>
                <w:szCs w:val="20"/>
              </w:rPr>
              <w:t xml:space="preserve"> </w:t>
            </w:r>
            <w:r>
              <w:rPr>
                <w:rFonts w:ascii="Times New Roman" w:hAnsi="Times New Roman" w:cs="Times New Roman"/>
                <w:color w:val="FF0000"/>
                <w:sz w:val="20"/>
                <w:szCs w:val="20"/>
              </w:rPr>
              <w:t>Ambulatori manipulāciju apmaksā ar nefrologa nosūtījumu.</w:t>
            </w:r>
          </w:p>
        </w:tc>
      </w:tr>
      <w:tr w:rsidR="004878D3" w14:paraId="1B745EE9" w14:textId="77777777" w:rsidTr="005C3D7C">
        <w:trPr>
          <w:trHeight w:val="403"/>
        </w:trPr>
        <w:tc>
          <w:tcPr>
            <w:tcW w:w="15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BC1785" w14:textId="77777777" w:rsidR="00916F5D" w:rsidRDefault="00916F5D">
            <w:pPr>
              <w:pStyle w:val="xxmsonormal"/>
            </w:pPr>
            <w:r>
              <w:rPr>
                <w:rFonts w:ascii="Times New Roman" w:hAnsi="Times New Roman" w:cs="Times New Roman"/>
                <w:color w:val="000000"/>
                <w:sz w:val="20"/>
                <w:szCs w:val="20"/>
              </w:rPr>
              <w:t>Citas specifiskas analīzes</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DDF191E" w14:textId="77777777" w:rsidR="00916F5D" w:rsidRDefault="00916F5D">
            <w:pPr>
              <w:pStyle w:val="xxmsonormal"/>
              <w:jc w:val="center"/>
            </w:pPr>
            <w:r>
              <w:rPr>
                <w:rFonts w:ascii="Times New Roman" w:hAnsi="Times New Roman" w:cs="Times New Roman"/>
                <w:color w:val="000000"/>
                <w:sz w:val="20"/>
                <w:szCs w:val="20"/>
              </w:rPr>
              <w:t>41203</w:t>
            </w:r>
          </w:p>
        </w:tc>
        <w:tc>
          <w:tcPr>
            <w:tcW w:w="17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D35888" w14:textId="77777777" w:rsidR="00916F5D" w:rsidRDefault="00916F5D">
            <w:pPr>
              <w:pStyle w:val="xxmsonormal"/>
            </w:pPr>
            <w:proofErr w:type="spellStart"/>
            <w:r>
              <w:rPr>
                <w:rFonts w:ascii="Times New Roman" w:hAnsi="Times New Roman" w:cs="Times New Roman"/>
                <w:color w:val="000000"/>
                <w:sz w:val="20"/>
                <w:szCs w:val="20"/>
              </w:rPr>
              <w:t>Troponīns</w:t>
            </w:r>
            <w:proofErr w:type="spellEnd"/>
            <w:r>
              <w:rPr>
                <w:rFonts w:ascii="Times New Roman" w:hAnsi="Times New Roman" w:cs="Times New Roman"/>
                <w:color w:val="000000"/>
                <w:sz w:val="20"/>
                <w:szCs w:val="20"/>
              </w:rPr>
              <w:t xml:space="preserve"> I</w:t>
            </w:r>
            <w:r>
              <w:rPr>
                <w:rFonts w:ascii="Times New Roman" w:hAnsi="Times New Roman" w:cs="Times New Roman"/>
                <w:strike/>
                <w:color w:val="000000"/>
                <w:sz w:val="20"/>
                <w:szCs w:val="20"/>
              </w:rPr>
              <w:t>, tai skaitā augsti jutīgais​</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F841EE" w14:textId="77777777" w:rsidR="00916F5D" w:rsidRDefault="00916F5D">
            <w:pPr>
              <w:pStyle w:val="xxmsonormal"/>
              <w:jc w:val="right"/>
            </w:pPr>
            <w:r>
              <w:rPr>
                <w:rFonts w:ascii="Times New Roman" w:hAnsi="Times New Roman" w:cs="Times New Roman"/>
                <w:color w:val="000000"/>
                <w:sz w:val="20"/>
                <w:szCs w:val="20"/>
              </w:rPr>
              <w:t>6.03</w:t>
            </w:r>
          </w:p>
        </w:tc>
        <w:tc>
          <w:tcPr>
            <w:tcW w:w="3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F063036" w14:textId="77777777" w:rsidR="00916F5D" w:rsidRDefault="00916F5D">
            <w:pPr>
              <w:pStyle w:val="xxmsonormal"/>
            </w:pPr>
            <w:r>
              <w:rPr>
                <w:rFonts w:ascii="Times New Roman" w:hAnsi="Times New Roman" w:cs="Times New Roman"/>
                <w:strike/>
                <w:color w:val="000000"/>
                <w:sz w:val="20"/>
                <w:szCs w:val="20"/>
              </w:rPr>
              <w:t>Apmaksā arī ambulatori.</w:t>
            </w:r>
            <w:r>
              <w:rPr>
                <w:rFonts w:ascii="Times New Roman" w:hAnsi="Times New Roman" w:cs="Times New Roman"/>
                <w:color w:val="000000"/>
                <w:sz w:val="20"/>
                <w:szCs w:val="20"/>
              </w:rPr>
              <w:t xml:space="preserve"> </w:t>
            </w:r>
            <w:r>
              <w:rPr>
                <w:rFonts w:ascii="Times New Roman" w:hAnsi="Times New Roman" w:cs="Times New Roman"/>
                <w:color w:val="FF0000"/>
                <w:sz w:val="20"/>
                <w:szCs w:val="20"/>
              </w:rPr>
              <w:t>Ambulatori neapmaksā gadījumā, ja manipulācija norādīta kopā ar manipulāciju 41204.</w:t>
            </w:r>
          </w:p>
        </w:tc>
      </w:tr>
      <w:tr w:rsidR="004878D3" w14:paraId="6E67176B" w14:textId="77777777" w:rsidTr="005C3D7C">
        <w:trPr>
          <w:trHeight w:val="423"/>
        </w:trPr>
        <w:tc>
          <w:tcPr>
            <w:tcW w:w="15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69DB92" w14:textId="77777777" w:rsidR="00916F5D" w:rsidRDefault="00916F5D">
            <w:pPr>
              <w:pStyle w:val="xxmsonormal"/>
            </w:pPr>
            <w:r>
              <w:rPr>
                <w:rFonts w:ascii="Times New Roman" w:hAnsi="Times New Roman" w:cs="Times New Roman"/>
                <w:color w:val="000000"/>
                <w:sz w:val="20"/>
                <w:szCs w:val="20"/>
              </w:rPr>
              <w:t>Citas specifiskas analīzes</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A196275" w14:textId="77777777" w:rsidR="00916F5D" w:rsidRDefault="00916F5D">
            <w:pPr>
              <w:pStyle w:val="xxmsonormal"/>
              <w:jc w:val="center"/>
            </w:pPr>
            <w:r>
              <w:rPr>
                <w:rFonts w:ascii="Times New Roman" w:hAnsi="Times New Roman" w:cs="Times New Roman"/>
                <w:color w:val="000000"/>
                <w:sz w:val="20"/>
                <w:szCs w:val="20"/>
              </w:rPr>
              <w:t>41204</w:t>
            </w:r>
          </w:p>
        </w:tc>
        <w:tc>
          <w:tcPr>
            <w:tcW w:w="17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AE2E3FE" w14:textId="77777777" w:rsidR="00916F5D" w:rsidRDefault="00916F5D">
            <w:pPr>
              <w:pStyle w:val="xxmsonormal"/>
            </w:pPr>
            <w:proofErr w:type="spellStart"/>
            <w:r>
              <w:rPr>
                <w:rFonts w:ascii="Times New Roman" w:hAnsi="Times New Roman" w:cs="Times New Roman"/>
                <w:color w:val="000000"/>
                <w:sz w:val="20"/>
                <w:szCs w:val="20"/>
              </w:rPr>
              <w:t>Troponīns</w:t>
            </w:r>
            <w:proofErr w:type="spellEnd"/>
            <w:r>
              <w:rPr>
                <w:rFonts w:ascii="Times New Roman" w:hAnsi="Times New Roman" w:cs="Times New Roman"/>
                <w:color w:val="000000"/>
                <w:sz w:val="20"/>
                <w:szCs w:val="20"/>
              </w:rPr>
              <w:t xml:space="preserve"> T</w:t>
            </w:r>
            <w:r>
              <w:rPr>
                <w:rFonts w:ascii="Times New Roman" w:hAnsi="Times New Roman" w:cs="Times New Roman"/>
                <w:strike/>
                <w:color w:val="000000"/>
                <w:sz w:val="20"/>
                <w:szCs w:val="20"/>
              </w:rPr>
              <w:t>, tai skaitā augsti jutīgais​</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5157AC" w14:textId="77777777" w:rsidR="00916F5D" w:rsidRDefault="00916F5D">
            <w:pPr>
              <w:pStyle w:val="xxmsonormal"/>
              <w:jc w:val="right"/>
            </w:pPr>
            <w:r>
              <w:rPr>
                <w:rFonts w:ascii="Times New Roman" w:hAnsi="Times New Roman" w:cs="Times New Roman"/>
                <w:color w:val="000000"/>
                <w:sz w:val="20"/>
                <w:szCs w:val="20"/>
              </w:rPr>
              <w:t>6.93</w:t>
            </w:r>
          </w:p>
        </w:tc>
        <w:tc>
          <w:tcPr>
            <w:tcW w:w="3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9D3781" w14:textId="77777777" w:rsidR="00916F5D" w:rsidRDefault="00916F5D">
            <w:pPr>
              <w:pStyle w:val="xxmsonormal"/>
            </w:pPr>
            <w:r>
              <w:rPr>
                <w:rFonts w:ascii="Times New Roman" w:hAnsi="Times New Roman" w:cs="Times New Roman"/>
                <w:strike/>
                <w:color w:val="000000"/>
                <w:sz w:val="20"/>
                <w:szCs w:val="20"/>
              </w:rPr>
              <w:t>Apmaksā arī ambulatori.</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Ambulatori neapmaksā gadījumā, ja manipulācija norādīta kopā ar manipulāciju 41203.</w:t>
            </w:r>
          </w:p>
        </w:tc>
      </w:tr>
      <w:tr w:rsidR="004878D3" w14:paraId="1DC6E3E0" w14:textId="77777777" w:rsidTr="005C3D7C">
        <w:trPr>
          <w:trHeight w:val="1625"/>
        </w:trPr>
        <w:tc>
          <w:tcPr>
            <w:tcW w:w="15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FA4F9F" w14:textId="77777777" w:rsidR="00916F5D" w:rsidRDefault="00916F5D">
            <w:pPr>
              <w:pStyle w:val="xxmsonormal"/>
            </w:pPr>
            <w:proofErr w:type="spellStart"/>
            <w:r>
              <w:rPr>
                <w:rFonts w:ascii="Times New Roman" w:hAnsi="Times New Roman" w:cs="Times New Roman"/>
                <w:color w:val="000000"/>
                <w:sz w:val="20"/>
                <w:szCs w:val="20"/>
              </w:rPr>
              <w:t>Reimotesti</w:t>
            </w:r>
            <w:proofErr w:type="spellEnd"/>
            <w:r>
              <w:rPr>
                <w:rFonts w:ascii="Times New Roman" w:hAnsi="Times New Roman" w:cs="Times New Roman"/>
                <w:color w:val="000000"/>
                <w:sz w:val="20"/>
                <w:szCs w:val="20"/>
              </w:rPr>
              <w:t>, akūtās fāzes olbaltumvielas</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4CD4208" w14:textId="77777777" w:rsidR="00916F5D" w:rsidRDefault="00916F5D">
            <w:pPr>
              <w:pStyle w:val="xxmsonormal"/>
              <w:jc w:val="center"/>
            </w:pPr>
            <w:r>
              <w:rPr>
                <w:rFonts w:ascii="Times New Roman" w:hAnsi="Times New Roman" w:cs="Times New Roman"/>
                <w:color w:val="000000"/>
                <w:sz w:val="20"/>
                <w:szCs w:val="20"/>
              </w:rPr>
              <w:t>41124</w:t>
            </w:r>
          </w:p>
        </w:tc>
        <w:tc>
          <w:tcPr>
            <w:tcW w:w="17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16AFA62" w14:textId="77777777" w:rsidR="00916F5D" w:rsidRDefault="00916F5D">
            <w:pPr>
              <w:pStyle w:val="xxmsonormal"/>
            </w:pPr>
            <w:proofErr w:type="spellStart"/>
            <w:r>
              <w:rPr>
                <w:rFonts w:ascii="Times New Roman" w:hAnsi="Times New Roman" w:cs="Times New Roman"/>
                <w:color w:val="000000"/>
                <w:sz w:val="20"/>
                <w:szCs w:val="20"/>
              </w:rPr>
              <w:t>Feritīns</w:t>
            </w:r>
            <w:proofErr w:type="spellEnd"/>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145466" w14:textId="77777777" w:rsidR="00916F5D" w:rsidRDefault="00916F5D">
            <w:pPr>
              <w:pStyle w:val="xxmsonormal"/>
              <w:jc w:val="right"/>
            </w:pPr>
            <w:r>
              <w:rPr>
                <w:rFonts w:ascii="Times New Roman" w:hAnsi="Times New Roman" w:cs="Times New Roman"/>
                <w:color w:val="000000"/>
                <w:sz w:val="20"/>
                <w:szCs w:val="20"/>
              </w:rPr>
              <w:t>5.94</w:t>
            </w:r>
          </w:p>
        </w:tc>
        <w:tc>
          <w:tcPr>
            <w:tcW w:w="3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6F69BE1" w14:textId="77777777" w:rsidR="00916F5D" w:rsidRDefault="00916F5D">
            <w:pPr>
              <w:pStyle w:val="xxmsonormal"/>
            </w:pPr>
            <w:r>
              <w:rPr>
                <w:rFonts w:ascii="Times New Roman" w:hAnsi="Times New Roman" w:cs="Times New Roman"/>
                <w:strike/>
                <w:color w:val="000000"/>
                <w:sz w:val="20"/>
                <w:szCs w:val="20"/>
              </w:rPr>
              <w:t>Apmaksā arī ambulatori.</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Ambulatori manipulāciju apmaksā pacientiem šādos gadījumos:</w:t>
            </w:r>
            <w:r>
              <w:rPr>
                <w:rFonts w:ascii="Times New Roman" w:hAnsi="Times New Roman" w:cs="Times New Roman"/>
                <w:color w:val="FF0000"/>
                <w:sz w:val="20"/>
                <w:szCs w:val="20"/>
              </w:rPr>
              <w:br/>
              <w:t>1) dzelzs deficīta anēmijas diagnostikai, ja pierādīta </w:t>
            </w:r>
            <w:proofErr w:type="spellStart"/>
            <w:r>
              <w:rPr>
                <w:rFonts w:ascii="Times New Roman" w:hAnsi="Times New Roman" w:cs="Times New Roman"/>
                <w:color w:val="FF0000"/>
                <w:sz w:val="20"/>
                <w:szCs w:val="20"/>
              </w:rPr>
              <w:t>mikrocitāra</w:t>
            </w:r>
            <w:proofErr w:type="spellEnd"/>
            <w:r>
              <w:rPr>
                <w:rFonts w:ascii="Times New Roman" w:hAnsi="Times New Roman" w:cs="Times New Roman"/>
                <w:color w:val="FF0000"/>
                <w:sz w:val="20"/>
                <w:szCs w:val="20"/>
              </w:rPr>
              <w:t> vai </w:t>
            </w:r>
            <w:proofErr w:type="spellStart"/>
            <w:r>
              <w:rPr>
                <w:rFonts w:ascii="Times New Roman" w:hAnsi="Times New Roman" w:cs="Times New Roman"/>
                <w:color w:val="FF0000"/>
                <w:sz w:val="20"/>
                <w:szCs w:val="20"/>
              </w:rPr>
              <w:t>normocitāra</w:t>
            </w:r>
            <w:proofErr w:type="spellEnd"/>
            <w:r>
              <w:rPr>
                <w:rFonts w:ascii="Times New Roman" w:hAnsi="Times New Roman" w:cs="Times New Roman"/>
                <w:color w:val="FF0000"/>
                <w:sz w:val="20"/>
                <w:szCs w:val="20"/>
              </w:rPr>
              <w:t> anēmija (hemoglobīns ir zem vecuma </w:t>
            </w:r>
            <w:proofErr w:type="spellStart"/>
            <w:r>
              <w:rPr>
                <w:rFonts w:ascii="Times New Roman" w:hAnsi="Times New Roman" w:cs="Times New Roman"/>
                <w:color w:val="FF0000"/>
                <w:sz w:val="20"/>
                <w:szCs w:val="20"/>
              </w:rPr>
              <w:t>referento</w:t>
            </w:r>
            <w:proofErr w:type="spellEnd"/>
            <w:r>
              <w:rPr>
                <w:rFonts w:ascii="Times New Roman" w:hAnsi="Times New Roman" w:cs="Times New Roman"/>
                <w:color w:val="FF0000"/>
                <w:sz w:val="20"/>
                <w:szCs w:val="20"/>
              </w:rPr>
              <w:t> vērtību robežām, vidējais eritrocītu tilpums (MCV) ir zem vai iekļaujas vecuma </w:t>
            </w:r>
            <w:proofErr w:type="spellStart"/>
            <w:r>
              <w:rPr>
                <w:rFonts w:ascii="Times New Roman" w:hAnsi="Times New Roman" w:cs="Times New Roman"/>
                <w:color w:val="FF0000"/>
                <w:sz w:val="20"/>
                <w:szCs w:val="20"/>
              </w:rPr>
              <w:t>referento</w:t>
            </w:r>
            <w:proofErr w:type="spellEnd"/>
            <w:r>
              <w:rPr>
                <w:rFonts w:ascii="Times New Roman" w:hAnsi="Times New Roman" w:cs="Times New Roman"/>
                <w:color w:val="FF0000"/>
                <w:sz w:val="20"/>
                <w:szCs w:val="20"/>
              </w:rPr>
              <w:t> vērtību robežās);</w:t>
            </w:r>
            <w:r>
              <w:rPr>
                <w:rFonts w:ascii="Times New Roman" w:hAnsi="Times New Roman" w:cs="Times New Roman"/>
                <w:color w:val="FF0000"/>
                <w:sz w:val="20"/>
                <w:szCs w:val="20"/>
              </w:rPr>
              <w:br/>
              <w:t>2) anēmiju </w:t>
            </w:r>
            <w:proofErr w:type="spellStart"/>
            <w:r>
              <w:rPr>
                <w:rFonts w:ascii="Times New Roman" w:hAnsi="Times New Roman" w:cs="Times New Roman"/>
                <w:color w:val="FF0000"/>
                <w:sz w:val="20"/>
                <w:szCs w:val="20"/>
              </w:rPr>
              <w:t>diferenciāldiagnostikai</w:t>
            </w:r>
            <w:proofErr w:type="spellEnd"/>
            <w:r>
              <w:rPr>
                <w:rFonts w:ascii="Times New Roman" w:hAnsi="Times New Roman" w:cs="Times New Roman"/>
                <w:color w:val="FF0000"/>
                <w:sz w:val="20"/>
                <w:szCs w:val="20"/>
              </w:rPr>
              <w:t xml:space="preserve"> - vai ir klīniskas aizdomas par slēptu dzelzs deficītu vai dzelzs pārslodzi, vai dzelzs deficīta vai dzelzs pārslodzes ārstēšanas </w:t>
            </w:r>
            <w:proofErr w:type="spellStart"/>
            <w:r>
              <w:rPr>
                <w:rFonts w:ascii="Times New Roman" w:hAnsi="Times New Roman" w:cs="Times New Roman"/>
                <w:color w:val="FF0000"/>
                <w:sz w:val="20"/>
                <w:szCs w:val="20"/>
              </w:rPr>
              <w:t>monitorēšanai</w:t>
            </w:r>
            <w:proofErr w:type="spellEnd"/>
            <w:r>
              <w:rPr>
                <w:rFonts w:ascii="Times New Roman" w:hAnsi="Times New Roman" w:cs="Times New Roman"/>
                <w:color w:val="FF0000"/>
                <w:sz w:val="20"/>
                <w:szCs w:val="20"/>
              </w:rPr>
              <w:t>;</w:t>
            </w:r>
            <w:r>
              <w:rPr>
                <w:rFonts w:ascii="Times New Roman" w:hAnsi="Times New Roman" w:cs="Times New Roman"/>
                <w:color w:val="FF0000"/>
                <w:sz w:val="20"/>
                <w:szCs w:val="20"/>
              </w:rPr>
              <w:br/>
              <w:t>3) ar hematologa, </w:t>
            </w:r>
            <w:proofErr w:type="spellStart"/>
            <w:r>
              <w:rPr>
                <w:rFonts w:ascii="Times New Roman" w:hAnsi="Times New Roman" w:cs="Times New Roman"/>
                <w:color w:val="FF0000"/>
                <w:sz w:val="20"/>
                <w:szCs w:val="20"/>
              </w:rPr>
              <w:t>hematoonkologa</w:t>
            </w:r>
            <w:proofErr w:type="spellEnd"/>
            <w:r>
              <w:rPr>
                <w:rFonts w:ascii="Times New Roman" w:hAnsi="Times New Roman" w:cs="Times New Roman"/>
                <w:color w:val="FF0000"/>
                <w:sz w:val="20"/>
                <w:szCs w:val="20"/>
              </w:rPr>
              <w:t>, ginekologa, dzemdību speciālista, </w:t>
            </w:r>
            <w:proofErr w:type="spellStart"/>
            <w:r>
              <w:rPr>
                <w:rFonts w:ascii="Times New Roman" w:hAnsi="Times New Roman" w:cs="Times New Roman"/>
                <w:color w:val="FF0000"/>
                <w:sz w:val="20"/>
                <w:szCs w:val="20"/>
              </w:rPr>
              <w:t>gastroenterologa</w:t>
            </w:r>
            <w:proofErr w:type="spellEnd"/>
            <w:r>
              <w:rPr>
                <w:rFonts w:ascii="Times New Roman" w:hAnsi="Times New Roman" w:cs="Times New Roman"/>
                <w:color w:val="FF0000"/>
                <w:sz w:val="20"/>
                <w:szCs w:val="20"/>
              </w:rPr>
              <w:t>, </w:t>
            </w:r>
            <w:proofErr w:type="spellStart"/>
            <w:r>
              <w:rPr>
                <w:rFonts w:ascii="Times New Roman" w:hAnsi="Times New Roman" w:cs="Times New Roman"/>
                <w:color w:val="FF0000"/>
                <w:sz w:val="20"/>
                <w:szCs w:val="20"/>
              </w:rPr>
              <w:t>infektologa</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hepatologa</w:t>
            </w:r>
            <w:proofErr w:type="spellEnd"/>
            <w:r>
              <w:rPr>
                <w:rFonts w:ascii="Times New Roman" w:hAnsi="Times New Roman" w:cs="Times New Roman"/>
                <w:color w:val="FF0000"/>
                <w:sz w:val="20"/>
                <w:szCs w:val="20"/>
              </w:rPr>
              <w:t xml:space="preserve"> un kardiologa nosūtījumu.​</w:t>
            </w:r>
          </w:p>
        </w:tc>
      </w:tr>
    </w:tbl>
    <w:p w14:paraId="4EF13FC0" w14:textId="77777777" w:rsidR="003867C3" w:rsidRDefault="003867C3"/>
    <w:p w14:paraId="4BDAC658" w14:textId="77777777" w:rsidR="00A8182B" w:rsidRDefault="00A8182B"/>
    <w:p w14:paraId="1E9CC9DB" w14:textId="77777777" w:rsidR="00A8182B" w:rsidRDefault="00A8182B"/>
    <w:sectPr w:rsidR="00A8182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154F" w14:textId="77777777" w:rsidR="003B53E4" w:rsidRDefault="003B53E4" w:rsidP="00916F5D">
      <w:r>
        <w:separator/>
      </w:r>
    </w:p>
  </w:endnote>
  <w:endnote w:type="continuationSeparator" w:id="0">
    <w:p w14:paraId="470328DE" w14:textId="77777777" w:rsidR="003B53E4" w:rsidRDefault="003B53E4" w:rsidP="0091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2AC9" w14:textId="77777777" w:rsidR="003B53E4" w:rsidRDefault="003B53E4" w:rsidP="00916F5D">
      <w:r>
        <w:separator/>
      </w:r>
    </w:p>
  </w:footnote>
  <w:footnote w:type="continuationSeparator" w:id="0">
    <w:p w14:paraId="35AB8DD4" w14:textId="77777777" w:rsidR="003B53E4" w:rsidRDefault="003B53E4" w:rsidP="00916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F4"/>
    <w:rsid w:val="00273DF4"/>
    <w:rsid w:val="003867C3"/>
    <w:rsid w:val="003B53E4"/>
    <w:rsid w:val="004878D3"/>
    <w:rsid w:val="005C3D7C"/>
    <w:rsid w:val="007D6D20"/>
    <w:rsid w:val="00916F5D"/>
    <w:rsid w:val="009975F7"/>
    <w:rsid w:val="00A44227"/>
    <w:rsid w:val="00A818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57AB"/>
  <w15:chartTrackingRefBased/>
  <w15:docId w15:val="{D3B634E3-817E-4871-A0B5-4497A245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5D"/>
    <w:pPr>
      <w:spacing w:after="0" w:line="240" w:lineRule="auto"/>
    </w:pPr>
    <w:rPr>
      <w:rFonts w:ascii="Aptos" w:hAnsi="Aptos" w:cs="Aptos"/>
      <w:sz w:val="24"/>
      <w:szCs w:val="24"/>
      <w:lang w:eastAsia="lv-LV"/>
    </w:rPr>
  </w:style>
  <w:style w:type="paragraph" w:styleId="Heading1">
    <w:name w:val="heading 1"/>
    <w:basedOn w:val="Normal"/>
    <w:next w:val="Normal"/>
    <w:link w:val="Heading1Char"/>
    <w:uiPriority w:val="9"/>
    <w:qFormat/>
    <w:rsid w:val="00273DF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273DF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273DF4"/>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273DF4"/>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273DF4"/>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273DF4"/>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273DF4"/>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273DF4"/>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273DF4"/>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DF4"/>
    <w:rPr>
      <w:rFonts w:eastAsiaTheme="majorEastAsia" w:cstheme="majorBidi"/>
      <w:color w:val="272727" w:themeColor="text1" w:themeTint="D8"/>
    </w:rPr>
  </w:style>
  <w:style w:type="paragraph" w:styleId="Title">
    <w:name w:val="Title"/>
    <w:basedOn w:val="Normal"/>
    <w:next w:val="Normal"/>
    <w:link w:val="TitleChar"/>
    <w:uiPriority w:val="10"/>
    <w:qFormat/>
    <w:rsid w:val="00273DF4"/>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73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DF4"/>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273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DF4"/>
    <w:pPr>
      <w:spacing w:before="160" w:after="160" w:line="259" w:lineRule="auto"/>
      <w:jc w:val="center"/>
    </w:pPr>
    <w:rPr>
      <w:rFonts w:ascii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273DF4"/>
    <w:rPr>
      <w:i/>
      <w:iCs/>
      <w:color w:val="404040" w:themeColor="text1" w:themeTint="BF"/>
    </w:rPr>
  </w:style>
  <w:style w:type="paragraph" w:styleId="ListParagraph">
    <w:name w:val="List Paragraph"/>
    <w:basedOn w:val="Normal"/>
    <w:uiPriority w:val="34"/>
    <w:qFormat/>
    <w:rsid w:val="00273DF4"/>
    <w:pPr>
      <w:spacing w:after="160" w:line="259" w:lineRule="auto"/>
      <w:ind w:left="720"/>
      <w:contextualSpacing/>
    </w:pPr>
    <w:rPr>
      <w:rFonts w:asciiTheme="minorHAnsi" w:hAnsiTheme="minorHAnsi" w:cstheme="minorBidi"/>
      <w:sz w:val="22"/>
      <w:szCs w:val="22"/>
      <w:lang w:eastAsia="en-US"/>
    </w:rPr>
  </w:style>
  <w:style w:type="character" w:styleId="IntenseEmphasis">
    <w:name w:val="Intense Emphasis"/>
    <w:basedOn w:val="DefaultParagraphFont"/>
    <w:uiPriority w:val="21"/>
    <w:qFormat/>
    <w:rsid w:val="00273DF4"/>
    <w:rPr>
      <w:i/>
      <w:iCs/>
      <w:color w:val="0F4761" w:themeColor="accent1" w:themeShade="BF"/>
    </w:rPr>
  </w:style>
  <w:style w:type="paragraph" w:styleId="IntenseQuote">
    <w:name w:val="Intense Quote"/>
    <w:basedOn w:val="Normal"/>
    <w:next w:val="Normal"/>
    <w:link w:val="IntenseQuoteChar"/>
    <w:uiPriority w:val="30"/>
    <w:qFormat/>
    <w:rsid w:val="00273DF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273DF4"/>
    <w:rPr>
      <w:i/>
      <w:iCs/>
      <w:color w:val="0F4761" w:themeColor="accent1" w:themeShade="BF"/>
    </w:rPr>
  </w:style>
  <w:style w:type="character" w:styleId="IntenseReference">
    <w:name w:val="Intense Reference"/>
    <w:basedOn w:val="DefaultParagraphFont"/>
    <w:uiPriority w:val="32"/>
    <w:qFormat/>
    <w:rsid w:val="00273DF4"/>
    <w:rPr>
      <w:b/>
      <w:bCs/>
      <w:smallCaps/>
      <w:color w:val="0F4761" w:themeColor="accent1" w:themeShade="BF"/>
      <w:spacing w:val="5"/>
    </w:rPr>
  </w:style>
  <w:style w:type="paragraph" w:customStyle="1" w:styleId="xmsonormal">
    <w:name w:val="x_msonormal"/>
    <w:basedOn w:val="Normal"/>
    <w:rsid w:val="00916F5D"/>
  </w:style>
  <w:style w:type="paragraph" w:customStyle="1" w:styleId="xxmsonormal">
    <w:name w:val="x_xmsonormal"/>
    <w:basedOn w:val="Normal"/>
    <w:rsid w:val="00916F5D"/>
    <w:rPr>
      <w:sz w:val="22"/>
      <w:szCs w:val="22"/>
    </w:rPr>
  </w:style>
  <w:style w:type="paragraph" w:styleId="Header">
    <w:name w:val="header"/>
    <w:basedOn w:val="Normal"/>
    <w:link w:val="HeaderChar"/>
    <w:uiPriority w:val="99"/>
    <w:unhideWhenUsed/>
    <w:rsid w:val="00916F5D"/>
    <w:pPr>
      <w:tabs>
        <w:tab w:val="center" w:pos="4153"/>
        <w:tab w:val="right" w:pos="8306"/>
      </w:tabs>
    </w:pPr>
  </w:style>
  <w:style w:type="character" w:customStyle="1" w:styleId="HeaderChar">
    <w:name w:val="Header Char"/>
    <w:basedOn w:val="DefaultParagraphFont"/>
    <w:link w:val="Header"/>
    <w:uiPriority w:val="99"/>
    <w:rsid w:val="00916F5D"/>
    <w:rPr>
      <w:rFonts w:ascii="Aptos" w:hAnsi="Aptos" w:cs="Aptos"/>
      <w:sz w:val="24"/>
      <w:szCs w:val="24"/>
      <w:lang w:eastAsia="lv-LV"/>
    </w:rPr>
  </w:style>
  <w:style w:type="paragraph" w:styleId="Footer">
    <w:name w:val="footer"/>
    <w:basedOn w:val="Normal"/>
    <w:link w:val="FooterChar"/>
    <w:uiPriority w:val="99"/>
    <w:unhideWhenUsed/>
    <w:rsid w:val="00916F5D"/>
    <w:pPr>
      <w:tabs>
        <w:tab w:val="center" w:pos="4153"/>
        <w:tab w:val="right" w:pos="8306"/>
      </w:tabs>
    </w:pPr>
  </w:style>
  <w:style w:type="character" w:customStyle="1" w:styleId="FooterChar">
    <w:name w:val="Footer Char"/>
    <w:basedOn w:val="DefaultParagraphFont"/>
    <w:link w:val="Footer"/>
    <w:uiPriority w:val="99"/>
    <w:rsid w:val="00916F5D"/>
    <w:rPr>
      <w:rFonts w:ascii="Aptos" w:hAnsi="Aptos" w:cs="Apto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1489</Words>
  <Characters>849</Characters>
  <Application>Microsoft Office Word</Application>
  <DocSecurity>0</DocSecurity>
  <Lines>7</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Kļava</dc:creator>
  <cp:keywords/>
  <dc:description/>
  <cp:lastModifiedBy>Evija Kļava</cp:lastModifiedBy>
  <cp:revision>7</cp:revision>
  <dcterms:created xsi:type="dcterms:W3CDTF">2026-01-09T07:19:00Z</dcterms:created>
  <dcterms:modified xsi:type="dcterms:W3CDTF">2026-01-09T08:09:00Z</dcterms:modified>
</cp:coreProperties>
</file>